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665"/>
        <w:gridCol w:w="5238"/>
        <w:gridCol w:w="245"/>
        <w:gridCol w:w="216"/>
        <w:gridCol w:w="4092"/>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39A03480" w:rsidR="00093CA9" w:rsidRDefault="0085623B" w:rsidP="00093CA9">
            <w:proofErr w:type="spellStart"/>
            <w:r>
              <w:t>Blomstein</w:t>
            </w:r>
            <w:proofErr w:type="spellEnd"/>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1AAC4083" w:rsidR="00093CA9" w:rsidRDefault="00AB0A78" w:rsidP="00093CA9">
            <w:r w:rsidRPr="00AB0A78">
              <w:t>ECB 2022 climate risk stress test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438C8B6E" w:rsidR="00093CA9" w:rsidRDefault="00490640" w:rsidP="00093CA9">
            <w:hyperlink r:id="rId17" w:history="1">
              <w:r w:rsidRPr="00B83201">
                <w:rPr>
                  <w:rStyle w:val="Hyperlink"/>
                </w:rPr>
                <w:t>https://web.archive.org/web/20250710121107/https://www.bankingsupervision.europa.eu/ecb/pub/pdf/ssm.climate_stress_test_report.20220708~2e3cc0999f.en.pdf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37C98B62"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0F70BC81"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25D486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805BEAC" w:rsidR="00093CA9" w:rsidRDefault="001608AD"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9D72327" w14:textId="1AADBBA9" w:rsidR="00984D0A" w:rsidRDefault="00984D0A" w:rsidP="00984D0A">
            <w:r>
              <w:t xml:space="preserve">The </w:t>
            </w:r>
            <w:r w:rsidR="0084099E" w:rsidRPr="0084099E">
              <w:t>European Central Bank</w:t>
            </w:r>
            <w:r w:rsidR="0084099E">
              <w:t xml:space="preserve">’s </w:t>
            </w:r>
            <w:r>
              <w:t xml:space="preserve">2022 climate risk stress test is a supervisory policy tool developed under the ECB’s mandate as part of the Single Supervisory Mechanism (SSM) to assess how significant institutions identify, monitor, and manage climate-related financial risks. Its primary purpose is to evaluate banks’ preparedness for climate-related shocks and to serve as a learning exercise to strengthen both supervisory and institutional capabilities </w:t>
            </w:r>
            <w:r w:rsidR="0084099E">
              <w:t>in</w:t>
            </w:r>
            <w:r>
              <w:t xml:space="preserve"> climate risk assessment. Conducted as part of the annual Supervisory Review and Evaluation Process (SREP) and based on Article 100 of Directive 2013/36/EU (CRD IV), the stress test does not directly affect capital requirements but informs qualitative supervisory judgments.</w:t>
            </w:r>
          </w:p>
          <w:p w14:paraId="18257824" w14:textId="79B30BEC" w:rsidR="00093CA9" w:rsidRDefault="00984D0A" w:rsidP="00984D0A">
            <w:r>
              <w:t>Th</w:t>
            </w:r>
            <w:r w:rsidR="0084099E">
              <w:t>is policy</w:t>
            </w:r>
            <w:r>
              <w:t xml:space="preserve"> tool addresses how financial institutions under the ECB’s supervision assess, quantify, and plan for risks stemming from both transition and physical climate risks. The exercise includes three components: a qualitative module assessing the maturity of banks’ internal climate stress-testing frameworks, a data collection module on exposure to carbon-intensive sectors, and a quantitative module projecting potential losses under hypothetical climate scenarios. It is not formally known under another name, but it is often referred to as the "ECB 2022 climate stress test" or "ECB climate risk stress test 2022." The results feed into broader supervisory follow-up, including bank-specific feedback and guidance on good practices, and align with the expectations set out in the ECB Guide on climate-related and environmental risks.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5E176C66" w:rsidR="00093CA9" w:rsidRDefault="0069071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033F79E3" w:rsidR="00093CA9" w:rsidRPr="00173D7C" w:rsidRDefault="00690717"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8615CF9" w:rsidR="00093CA9" w:rsidRPr="00173D7C" w:rsidRDefault="00E5352B"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3BA6A6B0" w:rsidR="00093CA9" w:rsidRDefault="00E5352B" w:rsidP="00093CA9">
            <w:r w:rsidRPr="00E5352B">
              <w:t>European Central Bank (ECB)</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F2CE609" w:rsidR="00093CA9" w:rsidRPr="006B7B0D" w:rsidRDefault="00F805E9" w:rsidP="00093CA9">
            <w:r w:rsidRPr="00F805E9">
              <w:t>European Central Bank (ECB)</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0B24C05" w:rsidR="00093CA9" w:rsidRPr="006B7B0D" w:rsidRDefault="00D646A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2380DFC7" w:rsidR="00093CA9" w:rsidRDefault="00D646A9" w:rsidP="00093CA9">
            <w:r w:rsidRPr="00D646A9">
              <w:t xml:space="preserve">The ECB is widely perceived as having a high capacity to undertake climate-related supervisory stress testing. As the central supervisory authority for significant credit institutions in the euro area, the ECB possesses substantial technical, analytical and institutional resources, including </w:t>
            </w:r>
            <w:r w:rsidRPr="00D646A9">
              <w:lastRenderedPageBreak/>
              <w:t>access to harmonised bank-level data, macroeconomic modelling expertise and a dedicated supervisory infrastructure under the Single Supervisory Mechanism (SSM)</w:t>
            </w:r>
            <w:r>
              <w: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579C3B84" w:rsidR="00093CA9" w:rsidRDefault="00862394"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6D8937AB" w14:textId="77777777" w:rsidR="00093CA9" w:rsidRDefault="00491BA3" w:rsidP="00093CA9">
            <w:pPr>
              <w:keepNext/>
              <w:rPr>
                <w:color w:val="000000" w:themeColor="text1"/>
              </w:rPr>
            </w:pPr>
            <w:r>
              <w:rPr>
                <w:color w:val="000000" w:themeColor="text1"/>
              </w:rPr>
              <w:t xml:space="preserve">- </w:t>
            </w:r>
            <w:r w:rsidRPr="00491BA3">
              <w:rPr>
                <w:color w:val="000000" w:themeColor="text1"/>
              </w:rPr>
              <w:t>Section 6.1</w:t>
            </w:r>
            <w:r>
              <w:rPr>
                <w:color w:val="000000" w:themeColor="text1"/>
              </w:rPr>
              <w:t xml:space="preserve">: </w:t>
            </w:r>
            <w:r w:rsidRPr="00491BA3">
              <w:rPr>
                <w:color w:val="000000" w:themeColor="text1"/>
              </w:rPr>
              <w:t>Integration into the SREP explains that the results of the climate stress test do not have immediate capital implications but are used as qualitative input to the annual SREP assessments. This enables supervisors to evaluate institutions' risk management frameworks and integration of climate risks in ICAAP (internal capital adequacy assessment process) and broader governance structures.</w:t>
            </w:r>
          </w:p>
          <w:p w14:paraId="0BB31B91" w14:textId="77777777" w:rsidR="00491BA3" w:rsidRDefault="00845F20" w:rsidP="00093CA9">
            <w:pPr>
              <w:keepNext/>
              <w:rPr>
                <w:color w:val="000000" w:themeColor="text1"/>
              </w:rPr>
            </w:pPr>
            <w:r>
              <w:rPr>
                <w:color w:val="000000" w:themeColor="text1"/>
              </w:rPr>
              <w:t xml:space="preserve">- </w:t>
            </w:r>
            <w:r w:rsidRPr="00845F20">
              <w:rPr>
                <w:color w:val="000000" w:themeColor="text1"/>
              </w:rPr>
              <w:t>Section 6.2</w:t>
            </w:r>
            <w:r>
              <w:rPr>
                <w:color w:val="000000" w:themeColor="text1"/>
              </w:rPr>
              <w:t>:</w:t>
            </w:r>
            <w:r w:rsidRPr="00845F20">
              <w:rPr>
                <w:color w:val="000000" w:themeColor="text1"/>
              </w:rPr>
              <w:t xml:space="preserve"> Guidance on ‘best practices’ notes that the ECB issued institution-specific feedback, including performance benchmarks and expectations. Banks received tailored reports that identified gaps in their frameworks and data handling and were expected to develop remedial action plans accordingly.</w:t>
            </w:r>
          </w:p>
          <w:p w14:paraId="2C2128DB" w14:textId="2E155680" w:rsidR="00845F20" w:rsidRPr="008017F9" w:rsidRDefault="00845F20" w:rsidP="00093CA9">
            <w:pPr>
              <w:keepNext/>
              <w:rPr>
                <w:color w:val="000000" w:themeColor="text1"/>
              </w:rPr>
            </w:pPr>
            <w:r>
              <w:rPr>
                <w:color w:val="000000" w:themeColor="text1"/>
              </w:rPr>
              <w:t xml:space="preserve">- </w:t>
            </w:r>
            <w:r w:rsidRPr="00845F20">
              <w:rPr>
                <w:color w:val="000000" w:themeColor="text1"/>
              </w:rPr>
              <w:t>Box 5 (p. 52) further highlights examples of good practices used to guide supervisory feedback and to encourage peer benchmarking among institutions.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64BB2CB2" w:rsidR="00D4323A" w:rsidRPr="00CF2E7C" w:rsidRDefault="00C875F6" w:rsidP="00CF2E7C">
            <w:pPr>
              <w:rPr>
                <w:rFonts w:ascii="Calibri" w:hAnsi="Calibri" w:cs="Calibri"/>
              </w:rPr>
            </w:pPr>
            <w:r>
              <w:rPr>
                <w:rFonts w:ascii="Calibri" w:hAnsi="Calibri" w:cs="Calibri"/>
              </w:rPr>
              <w:t>X</w:t>
            </w: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BAE84D3" w:rsidR="00D4323A" w:rsidRPr="00CF2E7C" w:rsidRDefault="00C875F6" w:rsidP="00CF2E7C">
            <w:pPr>
              <w:rPr>
                <w:rFonts w:ascii="Calibri" w:hAnsi="Calibri" w:cs="Calibri"/>
              </w:rPr>
            </w:pPr>
            <w:r>
              <w:rPr>
                <w:rFonts w:ascii="Calibri" w:hAnsi="Calibri" w:cs="Calibri"/>
              </w:rPr>
              <w:t>X</w:t>
            </w: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12A7C86" w:rsidR="00D4323A" w:rsidRPr="00CF2E7C" w:rsidRDefault="00C875F6"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05F813D9" w:rsidR="00D4323A" w:rsidRPr="00CF2E7C" w:rsidRDefault="00C875F6"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191E265B" w:rsidR="00D4323A" w:rsidRPr="00CF2E7C" w:rsidRDefault="00C875F6" w:rsidP="00CF2E7C">
            <w:pPr>
              <w:rPr>
                <w:rFonts w:ascii="Calibri" w:hAnsi="Calibri" w:cs="Calibri"/>
              </w:rPr>
            </w:pPr>
            <w:r>
              <w:rPr>
                <w:rFonts w:ascii="Calibri" w:hAnsi="Calibri" w:cs="Calibri"/>
              </w:rPr>
              <w:t>X</w:t>
            </w: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34B21F37" w:rsidR="00D4323A" w:rsidRPr="00CF2E7C" w:rsidRDefault="00C875F6"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306456A0" w:rsidR="00D4323A" w:rsidRPr="00CF2E7C" w:rsidRDefault="00C875F6"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145C0335" w:rsidR="00D4323A" w:rsidRPr="00CF2E7C" w:rsidRDefault="00C875F6"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28F3BBE2" w:rsidR="00D4323A" w:rsidRPr="00CF2E7C" w:rsidRDefault="00C875F6"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297B8659" w:rsidR="00D4323A" w:rsidRPr="00CF2E7C" w:rsidRDefault="00C875F6"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02DDD57C" w:rsidR="00D4323A" w:rsidRPr="00CF2E7C" w:rsidRDefault="00C875F6"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13539EA9" w:rsidR="00D4323A" w:rsidRPr="00CF2E7C" w:rsidRDefault="00C875F6"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09FA7E1C" w:rsidR="00D4323A" w:rsidRPr="00CF2E7C" w:rsidRDefault="00C875F6"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25047002" w:rsidR="00DD292A" w:rsidRPr="00CF2E7C" w:rsidRDefault="00D46CEC"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1AA156A" w:rsidR="00DD292A" w:rsidRPr="00CF2E7C" w:rsidRDefault="00D46CEC"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52C1D8E1" w:rsidR="00DD292A" w:rsidRPr="00CF2E7C" w:rsidRDefault="00D46CEC"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FC20EE1" w:rsidR="00DD292A" w:rsidRPr="00CF2E7C" w:rsidRDefault="00D46CEC"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06A84094" w:rsidR="00DD292A" w:rsidRPr="00CF2E7C" w:rsidRDefault="00D46CEC"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345D9EF7" w:rsidR="00DD292A" w:rsidRPr="00CF2E7C" w:rsidRDefault="00D46CEC"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6DFAAE60" w14:textId="77777777" w:rsidR="00DD292A" w:rsidRDefault="009347EC" w:rsidP="00CF2E7C">
            <w:pPr>
              <w:rPr>
                <w:rFonts w:ascii="Calibri" w:hAnsi="Calibri" w:cs="Calibri"/>
              </w:rPr>
            </w:pPr>
            <w:r w:rsidRPr="009347EC">
              <w:rPr>
                <w:rFonts w:ascii="Calibri" w:hAnsi="Calibri" w:cs="Calibri"/>
              </w:rPr>
              <w:t xml:space="preserve">The ECB 2022 </w:t>
            </w:r>
            <w:r>
              <w:rPr>
                <w:rFonts w:ascii="Calibri" w:hAnsi="Calibri" w:cs="Calibri"/>
              </w:rPr>
              <w:t>CRST</w:t>
            </w:r>
            <w:r w:rsidRPr="009347EC">
              <w:rPr>
                <w:rFonts w:ascii="Calibri" w:hAnsi="Calibri" w:cs="Calibri"/>
              </w:rPr>
              <w:t xml:space="preserve"> applies mandatorily to “significant institutions” (SIs) directly supervised by the ECB under the Single Supervisory Mechanism (SSM). These institutions are identified based on the SSM significance criteria set out in Article 6(4) of Council Regulation (EU) No</w:t>
            </w:r>
            <w:r>
              <w:rPr>
                <w:rFonts w:ascii="Calibri" w:hAnsi="Calibri" w:cs="Calibri"/>
              </w:rPr>
              <w:t>.</w:t>
            </w:r>
            <w:r w:rsidRPr="009347EC">
              <w:rPr>
                <w:rFonts w:ascii="Calibri" w:hAnsi="Calibri" w:cs="Calibri"/>
              </w:rPr>
              <w:t xml:space="preserve"> 1024/2013.</w:t>
            </w:r>
          </w:p>
          <w:p w14:paraId="00B7C4FE" w14:textId="29B029B9" w:rsidR="009347EC" w:rsidRPr="00CF2E7C" w:rsidRDefault="009347EC" w:rsidP="0099565B">
            <w:pPr>
              <w:rPr>
                <w:rFonts w:ascii="Calibri" w:hAnsi="Calibri" w:cs="Calibri"/>
              </w:rPr>
            </w:pPr>
            <w:r>
              <w:rPr>
                <w:rFonts w:ascii="Calibri" w:hAnsi="Calibri" w:cs="Calibri"/>
              </w:rPr>
              <w:t xml:space="preserve">The criteria include: </w:t>
            </w:r>
            <w:r w:rsidR="0099565B">
              <w:rPr>
                <w:rFonts w:ascii="Calibri" w:hAnsi="Calibri" w:cs="Calibri"/>
              </w:rPr>
              <w:t>t</w:t>
            </w:r>
            <w:r w:rsidR="0099565B" w:rsidRPr="0099565B">
              <w:rPr>
                <w:rFonts w:ascii="Calibri" w:hAnsi="Calibri" w:cs="Calibri"/>
              </w:rPr>
              <w:t>he total value of assets exceeds €30 billion;</w:t>
            </w:r>
            <w:r w:rsidR="0099565B">
              <w:rPr>
                <w:rFonts w:ascii="Calibri" w:hAnsi="Calibri" w:cs="Calibri"/>
              </w:rPr>
              <w:t xml:space="preserve"> t</w:t>
            </w:r>
            <w:r w:rsidR="0099565B" w:rsidRPr="0099565B">
              <w:rPr>
                <w:rFonts w:ascii="Calibri" w:hAnsi="Calibri" w:cs="Calibri"/>
              </w:rPr>
              <w:t>he institution is one of the three most significant credit institutions in a Member State;</w:t>
            </w:r>
            <w:r w:rsidR="0099565B">
              <w:rPr>
                <w:rFonts w:ascii="Calibri" w:hAnsi="Calibri" w:cs="Calibri"/>
              </w:rPr>
              <w:t xml:space="preserve"> t</w:t>
            </w:r>
            <w:r w:rsidR="0099565B" w:rsidRPr="0099565B">
              <w:rPr>
                <w:rFonts w:ascii="Calibri" w:hAnsi="Calibri" w:cs="Calibri"/>
              </w:rPr>
              <w:t>he institution is cross-border in nature;</w:t>
            </w:r>
            <w:r w:rsidR="0099565B">
              <w:rPr>
                <w:rFonts w:ascii="Calibri" w:hAnsi="Calibri" w:cs="Calibri"/>
              </w:rPr>
              <w:t xml:space="preserve"> t</w:t>
            </w:r>
            <w:r w:rsidR="0099565B" w:rsidRPr="0099565B">
              <w:rPr>
                <w:rFonts w:ascii="Calibri" w:hAnsi="Calibri" w:cs="Calibri"/>
              </w:rPr>
              <w:t>he institution has requested or received direct public financial assistance from the ESM or EFSF;</w:t>
            </w:r>
            <w:r w:rsidR="0099565B">
              <w:rPr>
                <w:rFonts w:ascii="Calibri" w:hAnsi="Calibri" w:cs="Calibri"/>
              </w:rPr>
              <w:t xml:space="preserve"> t</w:t>
            </w:r>
            <w:r w:rsidR="0099565B" w:rsidRPr="0099565B">
              <w:rPr>
                <w:rFonts w:ascii="Calibri" w:hAnsi="Calibri" w:cs="Calibri"/>
              </w:rPr>
              <w:t>he institution is designated as significant by national authorities in agreement with the ECB.</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1EBBD8" w:rsidR="00DD292A" w:rsidRPr="00CF2E7C" w:rsidRDefault="007250A6"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lastRenderedPageBreak/>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6C9714CC" w:rsidR="00DD3B33" w:rsidRPr="00CF2E7C" w:rsidRDefault="00E238E5" w:rsidP="00CF2E7C">
            <w:pPr>
              <w:rPr>
                <w:rFonts w:ascii="Calibri" w:hAnsi="Calibri" w:cs="Calibri"/>
              </w:rPr>
            </w:pPr>
            <w:r>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331659C5" w14:textId="0FD613FE" w:rsidR="00DD3B33" w:rsidRDefault="00FF5A72" w:rsidP="00CF2E7C">
            <w:pPr>
              <w:rPr>
                <w:rFonts w:ascii="Calibri" w:hAnsi="Calibri" w:cs="Calibri"/>
              </w:rPr>
            </w:pPr>
            <w:r w:rsidRPr="00FF5A72">
              <w:rPr>
                <w:rFonts w:ascii="Calibri" w:hAnsi="Calibri" w:cs="Calibri"/>
              </w:rPr>
              <w:t xml:space="preserve">The ECB 2022 </w:t>
            </w:r>
            <w:r>
              <w:rPr>
                <w:rFonts w:ascii="Calibri" w:hAnsi="Calibri" w:cs="Calibri"/>
              </w:rPr>
              <w:t>CRST</w:t>
            </w:r>
            <w:r w:rsidRPr="00FF5A72">
              <w:rPr>
                <w:rFonts w:ascii="Calibri" w:hAnsi="Calibri" w:cs="Calibri"/>
              </w:rPr>
              <w:t xml:space="preserve"> report does not enumerate formal sanctions in the sense of penalties or fines but clearly embeds compliance within the broader Supervisory Review and Evaluation Process (SREP) framework. Therefore, the sanctions for non-compliance are indirect but enforceable through supervisory pressure.</w:t>
            </w:r>
          </w:p>
          <w:p w14:paraId="0C9B19E2" w14:textId="77777777" w:rsidR="00FF5A72" w:rsidRDefault="00FF5A72" w:rsidP="00CF2E7C">
            <w:pPr>
              <w:rPr>
                <w:rFonts w:ascii="Calibri" w:hAnsi="Calibri" w:cs="Calibri"/>
              </w:rPr>
            </w:pPr>
            <w:r>
              <w:rPr>
                <w:rFonts w:ascii="Calibri" w:hAnsi="Calibri" w:cs="Calibri"/>
              </w:rPr>
              <w:t>Subsection 6.2 states</w:t>
            </w:r>
            <w:r w:rsidR="00723C2E" w:rsidRPr="00723C2E">
              <w:rPr>
                <w:rFonts w:ascii="Calibri" w:hAnsi="Calibri" w:cs="Calibri"/>
              </w:rPr>
              <w:t xml:space="preserve"> that if banks do not meet the ECB’s supervisory expectations, supervisors will issue qualitative findings and require the banks to take corrective action within a reasonable timeframe. </w:t>
            </w:r>
            <w:r w:rsidR="00723C2E">
              <w:rPr>
                <w:rFonts w:ascii="Calibri" w:hAnsi="Calibri" w:cs="Calibri"/>
              </w:rPr>
              <w:t xml:space="preserve">Also, the Executive Summary (p. 3) </w:t>
            </w:r>
            <w:r w:rsidR="009A724F" w:rsidRPr="009A724F">
              <w:rPr>
                <w:rFonts w:ascii="Calibri" w:hAnsi="Calibri" w:cs="Calibri"/>
              </w:rPr>
              <w:t>highlights that supervisors will actively follow up with institutions that exhibit significant shortcomings, ensuring that they develop and implement appropriate remedial plans to address the identified deficiencies.</w:t>
            </w:r>
          </w:p>
          <w:p w14:paraId="6BF4AF82" w14:textId="2E61787B" w:rsidR="009A724F" w:rsidRPr="00CF2E7C" w:rsidRDefault="009A724F" w:rsidP="00CF2E7C">
            <w:pPr>
              <w:rPr>
                <w:rFonts w:ascii="Calibri" w:hAnsi="Calibri" w:cs="Calibri"/>
              </w:rPr>
            </w:pPr>
            <w:r w:rsidRPr="009A724F">
              <w:rPr>
                <w:rFonts w:ascii="Calibri" w:hAnsi="Calibri" w:cs="Calibri"/>
              </w:rPr>
              <w:t>Though not framed as legal sanctions in the strict sense, these supervisory measures are binding under the ECB’s authority pursuant to Article 104 of Directive 2013/36/EU (CRD IV) and Regulation (EU) No 1024/2013, which empower the ECB to adopt enforcement measures, including adjustments to Pillar 2 capital guidance, if a bank’s risk management</w:t>
            </w:r>
            <w:r>
              <w:rPr>
                <w:rFonts w:ascii="Calibri" w:hAnsi="Calibri" w:cs="Calibri"/>
              </w:rPr>
              <w:t xml:space="preserve"> </w:t>
            </w:r>
            <w:r w:rsidRPr="009A724F">
              <w:rPr>
                <w:rFonts w:ascii="Calibri" w:hAnsi="Calibri" w:cs="Calibri"/>
              </w:rPr>
              <w:t>is deemed materially deficient.</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lastRenderedPageBreak/>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lastRenderedPageBreak/>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1A10B592" w:rsidR="00DD292A" w:rsidRPr="00CF2E7C" w:rsidRDefault="00D82190" w:rsidP="00CF2E7C">
            <w:pPr>
              <w:rPr>
                <w:rFonts w:ascii="Calibri" w:hAnsi="Calibri" w:cs="Calibri"/>
              </w:rPr>
            </w:pPr>
            <w:r>
              <w:rPr>
                <w:rFonts w:ascii="Calibri" w:hAnsi="Calibri" w:cs="Calibri"/>
              </w:rPr>
              <w:t>X</w:t>
            </w: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30BCE707" w14:textId="6FE8B274" w:rsidR="00170572" w:rsidRDefault="00170572" w:rsidP="00CF2E7C">
            <w:pPr>
              <w:rPr>
                <w:rFonts w:ascii="Calibri" w:hAnsi="Calibri" w:cs="Calibri"/>
              </w:rPr>
            </w:pPr>
            <w:r w:rsidRPr="00170572">
              <w:rPr>
                <w:rFonts w:ascii="Calibri" w:hAnsi="Calibri" w:cs="Calibri"/>
              </w:rPr>
              <w:t xml:space="preserve">While the 2022 </w:t>
            </w:r>
            <w:r>
              <w:rPr>
                <w:rFonts w:ascii="Calibri" w:hAnsi="Calibri" w:cs="Calibri"/>
              </w:rPr>
              <w:t xml:space="preserve">CRST </w:t>
            </w:r>
            <w:r w:rsidRPr="00170572">
              <w:rPr>
                <w:rFonts w:ascii="Calibri" w:hAnsi="Calibri" w:cs="Calibri"/>
              </w:rPr>
              <w:t>itself d</w:t>
            </w:r>
            <w:r>
              <w:rPr>
                <w:rFonts w:ascii="Calibri" w:hAnsi="Calibri" w:cs="Calibri"/>
              </w:rPr>
              <w:t xml:space="preserve">oes </w:t>
            </w:r>
            <w:r w:rsidRPr="00170572">
              <w:rPr>
                <w:rFonts w:ascii="Calibri" w:hAnsi="Calibri" w:cs="Calibri"/>
              </w:rPr>
              <w:t>not specify fines, the follow-up process under SREP has led to tangible financial penalties.</w:t>
            </w:r>
          </w:p>
          <w:p w14:paraId="08680456" w14:textId="5DF53F4D" w:rsidR="00DD292A" w:rsidRDefault="00CC2175" w:rsidP="00CF2E7C">
            <w:pPr>
              <w:rPr>
                <w:rFonts w:ascii="Calibri" w:hAnsi="Calibri" w:cs="Calibri"/>
              </w:rPr>
            </w:pPr>
            <w:r>
              <w:rPr>
                <w:rFonts w:ascii="Calibri" w:hAnsi="Calibri" w:cs="Calibri"/>
              </w:rPr>
              <w:t>I</w:t>
            </w:r>
            <w:r w:rsidR="00D40172">
              <w:rPr>
                <w:rFonts w:ascii="Calibri" w:hAnsi="Calibri" w:cs="Calibri"/>
              </w:rPr>
              <w:t>n September 2024</w:t>
            </w:r>
            <w:r>
              <w:rPr>
                <w:rFonts w:ascii="Calibri" w:hAnsi="Calibri" w:cs="Calibri"/>
              </w:rPr>
              <w:t xml:space="preserve">, Reuters reported </w:t>
            </w:r>
            <w:r w:rsidR="00887295">
              <w:rPr>
                <w:rFonts w:ascii="Calibri" w:hAnsi="Calibri" w:cs="Calibri"/>
              </w:rPr>
              <w:t>that t</w:t>
            </w:r>
            <w:r w:rsidR="00887295" w:rsidRPr="00887295">
              <w:rPr>
                <w:rFonts w:ascii="Calibri" w:hAnsi="Calibri" w:cs="Calibri"/>
              </w:rPr>
              <w:t>he ECB has begun issuing fine notices to banks that missed deadlines on integrating climate risk into governance and disclosure frameworks.</w:t>
            </w:r>
          </w:p>
          <w:p w14:paraId="7394013F" w14:textId="39F89D9F" w:rsidR="00D40172" w:rsidRPr="00CF2E7C" w:rsidRDefault="00D40172" w:rsidP="00CF2E7C">
            <w:pPr>
              <w:rPr>
                <w:rFonts w:ascii="Calibri" w:hAnsi="Calibri" w:cs="Calibri"/>
              </w:rPr>
            </w:pPr>
            <w:r>
              <w:rPr>
                <w:rFonts w:ascii="Calibri" w:hAnsi="Calibri" w:cs="Calibri"/>
              </w:rPr>
              <w:t>Available at:</w:t>
            </w:r>
            <w:r w:rsidR="0022172B">
              <w:rPr>
                <w:rFonts w:ascii="Calibri" w:hAnsi="Calibri" w:cs="Calibri"/>
              </w:rPr>
              <w:t xml:space="preserve"> </w:t>
            </w:r>
            <w:hyperlink r:id="rId18" w:history="1">
              <w:r w:rsidR="0022172B" w:rsidRPr="00752CC0">
                <w:rPr>
                  <w:rStyle w:val="Hyperlink"/>
                  <w:rFonts w:ascii="Calibri" w:hAnsi="Calibri" w:cs="Calibri"/>
                </w:rPr>
                <w:t>https://www.reuters.com/sustainability/ecb-started-issuing-fine-notices-banks-not-meeting-climate-expectations-2024-09-24/?utm_</w:t>
              </w:r>
            </w:hyperlink>
            <w:r w:rsidR="0022172B">
              <w:rPr>
                <w:rFonts w:ascii="Calibri" w:hAnsi="Calibri" w:cs="Calibri"/>
              </w:rPr>
              <w:t xml:space="preserve"> (web</w:t>
            </w:r>
            <w:r w:rsidR="00D54BD3">
              <w:rPr>
                <w:rFonts w:ascii="Calibri" w:hAnsi="Calibri" w:cs="Calibri"/>
              </w:rPr>
              <w:t>-</w:t>
            </w:r>
            <w:r w:rsidR="0022172B">
              <w:rPr>
                <w:rFonts w:ascii="Calibri" w:hAnsi="Calibri" w:cs="Calibri"/>
              </w:rPr>
              <w:t>archive not available).</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3CDFADE8" w:rsidR="00DD292A" w:rsidRPr="00CF2E7C" w:rsidRDefault="0075353E"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66B06114" w:rsidR="00410853" w:rsidRPr="00CF2E7C" w:rsidRDefault="001B7B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17892BB0" w:rsidR="00410853" w:rsidRPr="00CF2E7C" w:rsidRDefault="001B7B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08108AFB" w:rsidR="00F632FB" w:rsidRPr="00CF2E7C" w:rsidRDefault="008203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7DB08517" w:rsidR="00F632FB" w:rsidRPr="00CF2E7C" w:rsidRDefault="008203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77EEAF40" w:rsidR="00F632FB" w:rsidRPr="00CF2E7C" w:rsidRDefault="008203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1AC619AC" w:rsidR="00F632FB" w:rsidRPr="00CF2E7C" w:rsidRDefault="008203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747181B0" w:rsidR="008C4722" w:rsidRPr="00CF2E7C" w:rsidRDefault="00283A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41892D1B" w:rsidR="008C4722" w:rsidRPr="00CF2E7C" w:rsidRDefault="00283A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6C6EBCE" w:rsidR="008C4722" w:rsidRPr="00CF2E7C" w:rsidRDefault="00283A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3FBB7D69"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6761EE3" w14:textId="77777777" w:rsidR="0087149F" w:rsidRDefault="0087149F" w:rsidP="00CF2E7C">
            <w:pPr>
              <w:textAlignment w:val="baseline"/>
              <w:rPr>
                <w:rFonts w:ascii="Calibri" w:eastAsia="Times New Roman" w:hAnsi="Calibri" w:cs="Calibri"/>
                <w:kern w:val="0"/>
                <w:lang w:eastAsia="en-GB"/>
                <w14:ligatures w14:val="none"/>
              </w:rPr>
            </w:pPr>
            <w:r w:rsidRPr="0087149F">
              <w:rPr>
                <w:rFonts w:ascii="Calibri" w:eastAsia="Times New Roman" w:hAnsi="Calibri" w:cs="Calibri"/>
                <w:kern w:val="0"/>
                <w:lang w:eastAsia="en-GB"/>
                <w14:ligatures w14:val="none"/>
              </w:rPr>
              <w:t xml:space="preserve">The ECB’s 2022 </w:t>
            </w:r>
            <w:r>
              <w:rPr>
                <w:rFonts w:ascii="Calibri" w:eastAsia="Times New Roman" w:hAnsi="Calibri" w:cs="Calibri"/>
                <w:kern w:val="0"/>
                <w:lang w:eastAsia="en-GB"/>
                <w14:ligatures w14:val="none"/>
              </w:rPr>
              <w:t xml:space="preserve">CRST </w:t>
            </w:r>
            <w:r w:rsidRPr="0087149F">
              <w:rPr>
                <w:rFonts w:ascii="Calibri" w:eastAsia="Times New Roman" w:hAnsi="Calibri" w:cs="Calibri"/>
                <w:kern w:val="0"/>
                <w:lang w:eastAsia="en-GB"/>
                <w14:ligatures w14:val="none"/>
              </w:rPr>
              <w:t xml:space="preserve">addresses the incidence of climate-related financial risks on significant institutions by requiring them to quantify credit, market and operational losses under both transition and physical climate scenarios. </w:t>
            </w:r>
          </w:p>
          <w:p w14:paraId="21723EAB" w14:textId="77777777" w:rsidR="0087149F" w:rsidRDefault="008714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87149F">
              <w:rPr>
                <w:rFonts w:ascii="Calibri" w:eastAsia="Times New Roman" w:hAnsi="Calibri" w:cs="Calibri"/>
                <w:kern w:val="0"/>
                <w:lang w:eastAsia="en-GB"/>
                <w14:ligatures w14:val="none"/>
              </w:rPr>
              <w:t xml:space="preserve">Section 2.1 outlines the stress-testing methodology and risk transmission </w:t>
            </w:r>
            <w:proofErr w:type="gramStart"/>
            <w:r w:rsidRPr="0087149F">
              <w:rPr>
                <w:rFonts w:ascii="Calibri" w:eastAsia="Times New Roman" w:hAnsi="Calibri" w:cs="Calibri"/>
                <w:kern w:val="0"/>
                <w:lang w:eastAsia="en-GB"/>
                <w14:ligatures w14:val="none"/>
              </w:rPr>
              <w:t>channels</w:t>
            </w:r>
            <w:r>
              <w:rPr>
                <w:rFonts w:ascii="Calibri" w:eastAsia="Times New Roman" w:hAnsi="Calibri" w:cs="Calibri"/>
                <w:kern w:val="0"/>
                <w:lang w:eastAsia="en-GB"/>
                <w14:ligatures w14:val="none"/>
              </w:rPr>
              <w:t>;</w:t>
            </w:r>
            <w:proofErr w:type="gramEnd"/>
          </w:p>
          <w:p w14:paraId="1D2F634A" w14:textId="0B5844F0" w:rsidR="0087149F" w:rsidRDefault="008714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87149F">
              <w:rPr>
                <w:rFonts w:ascii="Calibri" w:eastAsia="Times New Roman" w:hAnsi="Calibri" w:cs="Calibri"/>
                <w:kern w:val="0"/>
                <w:lang w:eastAsia="en-GB"/>
                <w14:ligatures w14:val="none"/>
              </w:rPr>
              <w:t>Sections 4.1</w:t>
            </w:r>
            <w:r w:rsidR="00A83B1E">
              <w:rPr>
                <w:rFonts w:ascii="Calibri" w:eastAsia="Times New Roman" w:hAnsi="Calibri" w:cs="Calibri"/>
                <w:kern w:val="0"/>
                <w:lang w:eastAsia="en-GB"/>
                <w14:ligatures w14:val="none"/>
              </w:rPr>
              <w:t>-</w:t>
            </w:r>
            <w:r w:rsidRPr="0087149F">
              <w:rPr>
                <w:rFonts w:ascii="Calibri" w:eastAsia="Times New Roman" w:hAnsi="Calibri" w:cs="Calibri"/>
                <w:kern w:val="0"/>
                <w:lang w:eastAsia="en-GB"/>
                <w14:ligatures w14:val="none"/>
              </w:rPr>
              <w:t xml:space="preserve">4.3 detail banks’ exposures to high-emission sectors and geographic vulnerability to climate </w:t>
            </w:r>
            <w:proofErr w:type="gramStart"/>
            <w:r w:rsidRPr="0087149F">
              <w:rPr>
                <w:rFonts w:ascii="Calibri" w:eastAsia="Times New Roman" w:hAnsi="Calibri" w:cs="Calibri"/>
                <w:kern w:val="0"/>
                <w:lang w:eastAsia="en-GB"/>
                <w14:ligatures w14:val="none"/>
              </w:rPr>
              <w:t>shocks</w:t>
            </w:r>
            <w:r>
              <w:rPr>
                <w:rFonts w:ascii="Calibri" w:eastAsia="Times New Roman" w:hAnsi="Calibri" w:cs="Calibri"/>
                <w:kern w:val="0"/>
                <w:lang w:eastAsia="en-GB"/>
                <w14:ligatures w14:val="none"/>
              </w:rPr>
              <w:t>;</w:t>
            </w:r>
            <w:proofErr w:type="gramEnd"/>
          </w:p>
          <w:p w14:paraId="11FF4612" w14:textId="77777777" w:rsidR="0087149F" w:rsidRDefault="008714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87149F">
              <w:rPr>
                <w:rFonts w:ascii="Calibri" w:eastAsia="Times New Roman" w:hAnsi="Calibri" w:cs="Calibri"/>
                <w:kern w:val="0"/>
                <w:lang w:eastAsia="en-GB"/>
                <w14:ligatures w14:val="none"/>
              </w:rPr>
              <w:t xml:space="preserve">Section 3.2 assesses how climate risk is integrated into risk governance and ICAAP, revealing significant gaps in preparedness. </w:t>
            </w:r>
          </w:p>
          <w:p w14:paraId="39FC6AFA" w14:textId="6B7F6980" w:rsidR="008C4722" w:rsidRPr="00CF2E7C" w:rsidRDefault="0087149F" w:rsidP="00CF2E7C">
            <w:pPr>
              <w:textAlignment w:val="baseline"/>
              <w:rPr>
                <w:rFonts w:ascii="Calibri" w:eastAsia="Times New Roman" w:hAnsi="Calibri" w:cs="Calibri"/>
                <w:kern w:val="0"/>
                <w:lang w:eastAsia="en-GB"/>
                <w14:ligatures w14:val="none"/>
              </w:rPr>
            </w:pPr>
            <w:r w:rsidRPr="0087149F">
              <w:rPr>
                <w:rFonts w:ascii="Calibri" w:eastAsia="Times New Roman" w:hAnsi="Calibri" w:cs="Calibri"/>
                <w:kern w:val="0"/>
                <w:lang w:eastAsia="en-GB"/>
                <w14:ligatures w14:val="none"/>
              </w:rPr>
              <w:t>The results inform qualitative supervisory judgments under the SREP.</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021D1C7" w:rsidR="008C4722" w:rsidRPr="00CF2E7C" w:rsidRDefault="00E832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4D9F1AF" w14:textId="77777777" w:rsidR="0059335D" w:rsidRDefault="0059335D" w:rsidP="00CF2E7C">
            <w:pPr>
              <w:textAlignment w:val="baseline"/>
              <w:rPr>
                <w:rFonts w:ascii="Calibri" w:eastAsia="Times New Roman" w:hAnsi="Calibri" w:cs="Calibri"/>
                <w:kern w:val="0"/>
                <w:lang w:eastAsia="en-GB"/>
                <w14:ligatures w14:val="none"/>
              </w:rPr>
            </w:pPr>
            <w:r w:rsidRPr="0059335D">
              <w:rPr>
                <w:rFonts w:ascii="Calibri" w:eastAsia="Times New Roman" w:hAnsi="Calibri" w:cs="Calibri"/>
                <w:kern w:val="0"/>
                <w:lang w:eastAsia="en-GB"/>
                <w14:ligatures w14:val="none"/>
              </w:rPr>
              <w:t xml:space="preserve">As stated explicitly in the Executive Summary (p. 3) and Section 6.1, the stress test was part of the Supervisory Review and Evaluation Process (SREP) under Article 100 of CRD IV, which is the EU’s implementation of Basel Pillar 2. </w:t>
            </w:r>
          </w:p>
          <w:p w14:paraId="19A08324" w14:textId="6819CDD1" w:rsidR="008C4722" w:rsidRPr="00CF2E7C" w:rsidRDefault="0059335D" w:rsidP="00CF2E7C">
            <w:pPr>
              <w:textAlignment w:val="baseline"/>
              <w:rPr>
                <w:rFonts w:ascii="Calibri" w:eastAsia="Times New Roman" w:hAnsi="Calibri" w:cs="Calibri"/>
                <w:kern w:val="0"/>
                <w:lang w:eastAsia="en-GB"/>
                <w14:ligatures w14:val="none"/>
              </w:rPr>
            </w:pPr>
            <w:r w:rsidRPr="0059335D">
              <w:rPr>
                <w:rFonts w:ascii="Calibri" w:eastAsia="Times New Roman" w:hAnsi="Calibri" w:cs="Calibri"/>
                <w:kern w:val="0"/>
                <w:lang w:eastAsia="en-GB"/>
                <w14:ligatures w14:val="none"/>
              </w:rPr>
              <w:t>The ECB used the exercise to assess how banks identify, monitor, and manage climate-related risks as part of their governance, risk appetite and capital planning processes (including ICAAP).</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49294BB6" w:rsidR="007B7DEE" w:rsidRPr="00CF2E7C" w:rsidRDefault="0059335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0FDAA92" w14:textId="77777777" w:rsidR="007B7DEE" w:rsidRDefault="00FF41A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Pr="00FF41A0">
              <w:rPr>
                <w:rFonts w:ascii="Calibri" w:eastAsia="Times New Roman" w:hAnsi="Calibri" w:cs="Calibri"/>
                <w:kern w:val="0"/>
                <w:lang w:eastAsia="en-GB"/>
                <w14:ligatures w14:val="none"/>
              </w:rPr>
              <w:t>he policy tool uses taxonomy-like sector classifications to identify high-carbon activities and environmental exposures, consistent with the EU’s sustainable finance framework.</w:t>
            </w:r>
          </w:p>
          <w:p w14:paraId="42397B76" w14:textId="4A3D4DA2" w:rsidR="00E339E1" w:rsidRPr="00CF2E7C" w:rsidRDefault="00E339E1" w:rsidP="00E339E1">
            <w:pPr>
              <w:textAlignment w:val="baseline"/>
              <w:rPr>
                <w:rFonts w:ascii="Calibri" w:eastAsia="Times New Roman" w:hAnsi="Calibri" w:cs="Calibri"/>
                <w:kern w:val="0"/>
                <w:lang w:eastAsia="en-GB"/>
                <w14:ligatures w14:val="none"/>
              </w:rPr>
            </w:pPr>
            <w:r w:rsidRPr="00E339E1">
              <w:rPr>
                <w:rFonts w:ascii="Calibri" w:eastAsia="Times New Roman" w:hAnsi="Calibri" w:cs="Calibri"/>
                <w:kern w:val="0"/>
                <w:lang w:eastAsia="en-GB"/>
                <w14:ligatures w14:val="none"/>
              </w:rPr>
              <w:t>Section 2.1 and Annex A.2</w:t>
            </w:r>
            <w:r>
              <w:rPr>
                <w:rFonts w:ascii="Calibri" w:eastAsia="Times New Roman" w:hAnsi="Calibri" w:cs="Calibri"/>
                <w:kern w:val="0"/>
                <w:lang w:eastAsia="en-GB"/>
                <w14:ligatures w14:val="none"/>
              </w:rPr>
              <w:t>: T</w:t>
            </w:r>
            <w:r w:rsidRPr="00E339E1">
              <w:rPr>
                <w:rFonts w:ascii="Calibri" w:eastAsia="Times New Roman" w:hAnsi="Calibri" w:cs="Calibri"/>
                <w:kern w:val="0"/>
                <w:lang w:eastAsia="en-GB"/>
                <w14:ligatures w14:val="none"/>
              </w:rPr>
              <w:t>he ECB requires banks to report exposures and income from 22 carbon-intensive industries, which</w:t>
            </w:r>
            <w:r>
              <w:rPr>
                <w:rFonts w:ascii="Calibri" w:eastAsia="Times New Roman" w:hAnsi="Calibri" w:cs="Calibri"/>
                <w:kern w:val="0"/>
                <w:lang w:eastAsia="en-GB"/>
                <w14:ligatures w14:val="none"/>
              </w:rPr>
              <w:t xml:space="preserve"> </w:t>
            </w:r>
            <w:r w:rsidRPr="00E339E1">
              <w:rPr>
                <w:rFonts w:ascii="Calibri" w:eastAsia="Times New Roman" w:hAnsi="Calibri" w:cs="Calibri"/>
                <w:kern w:val="0"/>
                <w:lang w:eastAsia="en-GB"/>
                <w14:ligatures w14:val="none"/>
              </w:rPr>
              <w:t xml:space="preserve">covered </w:t>
            </w:r>
            <w:proofErr w:type="gramStart"/>
            <w:r w:rsidRPr="00E339E1">
              <w:rPr>
                <w:rFonts w:ascii="Calibri" w:eastAsia="Times New Roman" w:hAnsi="Calibri" w:cs="Calibri"/>
                <w:kern w:val="0"/>
                <w:lang w:eastAsia="en-GB"/>
                <w14:ligatures w14:val="none"/>
              </w:rPr>
              <w:t>all of</w:t>
            </w:r>
            <w:proofErr w:type="gramEnd"/>
            <w:r w:rsidRPr="00E339E1">
              <w:rPr>
                <w:rFonts w:ascii="Calibri" w:eastAsia="Times New Roman" w:hAnsi="Calibri" w:cs="Calibri"/>
                <w:kern w:val="0"/>
                <w:lang w:eastAsia="en-GB"/>
                <w14:ligatures w14:val="none"/>
              </w:rPr>
              <w:t xml:space="preserve"> the high climate impact sectors defined by the Technical Expert Group on Sustainable Finance (EC TEG) and represent around 90% of total GHG Scope 1 emissions in Europe.</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3D42B46E" w:rsidR="00ED7E12" w:rsidRPr="00CF2E7C" w:rsidRDefault="00E550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16128213" w:rsidR="00ED7E12" w:rsidRPr="00CF2E7C" w:rsidRDefault="00E550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31D49F5" w14:textId="77777777" w:rsidR="000D0FD6" w:rsidRDefault="000D0FD6" w:rsidP="00CF2E7C">
            <w:pPr>
              <w:textAlignment w:val="baseline"/>
              <w:rPr>
                <w:rFonts w:ascii="Calibri" w:eastAsia="Times New Roman" w:hAnsi="Calibri" w:cs="Calibri"/>
                <w:kern w:val="0"/>
                <w:lang w:eastAsia="en-GB"/>
                <w14:ligatures w14:val="none"/>
              </w:rPr>
            </w:pPr>
            <w:r w:rsidRPr="000D0FD6">
              <w:rPr>
                <w:rFonts w:ascii="Calibri" w:eastAsia="Times New Roman" w:hAnsi="Calibri" w:cs="Calibri"/>
                <w:kern w:val="0"/>
                <w:lang w:eastAsia="en-GB"/>
                <w14:ligatures w14:val="none"/>
              </w:rPr>
              <w:t>Compliance is monitored through self-reporting by banks and supervisory oversight by the ECB.</w:t>
            </w:r>
          </w:p>
          <w:p w14:paraId="12D46666" w14:textId="77777777" w:rsidR="000D0FD6" w:rsidRDefault="000D0FD6" w:rsidP="00CF2E7C">
            <w:pPr>
              <w:textAlignment w:val="baseline"/>
              <w:rPr>
                <w:rFonts w:ascii="Calibri" w:eastAsia="Times New Roman" w:hAnsi="Calibri" w:cs="Calibri"/>
                <w:kern w:val="0"/>
                <w:lang w:eastAsia="en-GB"/>
                <w14:ligatures w14:val="none"/>
              </w:rPr>
            </w:pPr>
            <w:r w:rsidRPr="000D0FD6">
              <w:rPr>
                <w:rFonts w:ascii="Calibri" w:eastAsia="Times New Roman" w:hAnsi="Calibri" w:cs="Calibri"/>
                <w:kern w:val="0"/>
                <w:lang w:eastAsia="en-GB"/>
                <w14:ligatures w14:val="none"/>
              </w:rPr>
              <w:t xml:space="preserve">Banks submit qualitative assessments and quantitative data via standardised templates (Section 2.2, pp. 15–17). </w:t>
            </w:r>
          </w:p>
          <w:p w14:paraId="4F91C063" w14:textId="77777777" w:rsidR="000D0FD6" w:rsidRDefault="000D0FD6" w:rsidP="00CF2E7C">
            <w:pPr>
              <w:textAlignment w:val="baseline"/>
              <w:rPr>
                <w:rFonts w:ascii="Calibri" w:eastAsia="Times New Roman" w:hAnsi="Calibri" w:cs="Calibri"/>
                <w:kern w:val="0"/>
                <w:lang w:eastAsia="en-GB"/>
                <w14:ligatures w14:val="none"/>
              </w:rPr>
            </w:pPr>
            <w:r w:rsidRPr="000D0FD6">
              <w:rPr>
                <w:rFonts w:ascii="Calibri" w:eastAsia="Times New Roman" w:hAnsi="Calibri" w:cs="Calibri"/>
                <w:kern w:val="0"/>
                <w:lang w:eastAsia="en-GB"/>
                <w14:ligatures w14:val="none"/>
              </w:rPr>
              <w:t xml:space="preserve">The ECB verifies compliance through plausibility checks, benchmarking, and integration of results into the Supervisory Review and Evaluation Process (SREP) (Section 6.1, p. 51). </w:t>
            </w:r>
          </w:p>
          <w:p w14:paraId="42FF8A1B" w14:textId="79691684" w:rsidR="00ED7E12" w:rsidRPr="00CF2E7C" w:rsidRDefault="000D0FD6" w:rsidP="00CF2E7C">
            <w:pPr>
              <w:textAlignment w:val="baseline"/>
              <w:rPr>
                <w:rFonts w:ascii="Calibri" w:eastAsia="Times New Roman" w:hAnsi="Calibri" w:cs="Calibri"/>
                <w:kern w:val="0"/>
                <w:lang w:eastAsia="en-GB"/>
                <w14:ligatures w14:val="none"/>
              </w:rPr>
            </w:pPr>
            <w:r w:rsidRPr="000D0FD6">
              <w:rPr>
                <w:rFonts w:ascii="Calibri" w:eastAsia="Times New Roman" w:hAnsi="Calibri" w:cs="Calibri"/>
                <w:kern w:val="0"/>
                <w:lang w:eastAsia="en-GB"/>
                <w14:ligatures w14:val="none"/>
              </w:rPr>
              <w:t xml:space="preserve">Where banks fall short of expectations, </w:t>
            </w:r>
            <w:proofErr w:type="gramStart"/>
            <w:r w:rsidRPr="000D0FD6">
              <w:rPr>
                <w:rFonts w:ascii="Calibri" w:eastAsia="Times New Roman" w:hAnsi="Calibri" w:cs="Calibri"/>
                <w:kern w:val="0"/>
                <w:lang w:eastAsia="en-GB"/>
                <w14:ligatures w14:val="none"/>
              </w:rPr>
              <w:t>supervisors</w:t>
            </w:r>
            <w:proofErr w:type="gramEnd"/>
            <w:r w:rsidRPr="000D0FD6">
              <w:rPr>
                <w:rFonts w:ascii="Calibri" w:eastAsia="Times New Roman" w:hAnsi="Calibri" w:cs="Calibri"/>
                <w:kern w:val="0"/>
                <w:lang w:eastAsia="en-GB"/>
                <w14:ligatures w14:val="none"/>
              </w:rPr>
              <w:t xml:space="preserve"> issue qualitative findings and request remedial action (Section 6.2, p. 51).</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22F5770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E24AD">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3E14077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E24AD">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216E488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E24AD">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29AE7E0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87EED">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262666C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87EED">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2A42BB8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87EED">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5D205F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87EED">
              <w:rPr>
                <w:rFonts w:ascii="Calibri" w:eastAsia="Times New Roman" w:hAnsi="Calibri" w:cs="Calibri"/>
                <w:kern w:val="0"/>
                <w:lan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7ECA334D" w:rsidR="00C82860" w:rsidRPr="00CF2E7C" w:rsidRDefault="005550E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F2EE380" w14:textId="77777777" w:rsidR="004F62C2" w:rsidRDefault="004F62C2" w:rsidP="00CF2E7C">
            <w:pPr>
              <w:textAlignment w:val="baseline"/>
              <w:rPr>
                <w:rFonts w:ascii="Calibri" w:eastAsia="Times New Roman" w:hAnsi="Calibri" w:cs="Calibri"/>
                <w:kern w:val="0"/>
                <w:lang w:eastAsia="en-GB"/>
                <w14:ligatures w14:val="none"/>
              </w:rPr>
            </w:pPr>
            <w:r w:rsidRPr="004F62C2">
              <w:rPr>
                <w:rFonts w:ascii="Calibri" w:eastAsia="Times New Roman" w:hAnsi="Calibri" w:cs="Calibri"/>
                <w:kern w:val="0"/>
                <w:lang w:eastAsia="en-GB"/>
                <w14:ligatures w14:val="none"/>
              </w:rPr>
              <w:t>The policy tool recommends that significant institutions disclose their climate-related risk management and governance practices, in line with the ECB’s supervisory expectations.</w:t>
            </w:r>
          </w:p>
          <w:p w14:paraId="56FDB623" w14:textId="1A4B8B62" w:rsidR="004F62C2" w:rsidRDefault="004F62C2" w:rsidP="00CF2E7C">
            <w:pPr>
              <w:textAlignment w:val="baseline"/>
              <w:rPr>
                <w:rFonts w:ascii="Calibri" w:eastAsia="Times New Roman" w:hAnsi="Calibri" w:cs="Calibri"/>
                <w:kern w:val="0"/>
                <w:lang w:eastAsia="en-GB"/>
                <w14:ligatures w14:val="none"/>
              </w:rPr>
            </w:pPr>
            <w:r w:rsidRPr="004F62C2">
              <w:rPr>
                <w:rFonts w:ascii="Calibri" w:eastAsia="Times New Roman" w:hAnsi="Calibri" w:cs="Calibri"/>
                <w:kern w:val="0"/>
                <w:lang w:eastAsia="en-GB"/>
                <w14:ligatures w14:val="none"/>
              </w:rPr>
              <w:t xml:space="preserve">However, disclosure is not mandatory under the stress test itself, and there are no formal thresholds beyond which disclosure becomes obligatory. </w:t>
            </w:r>
          </w:p>
          <w:p w14:paraId="4DEB14D8" w14:textId="033EB88C" w:rsidR="00C82860" w:rsidRPr="00CF2E7C" w:rsidRDefault="004F62C2" w:rsidP="00CF2E7C">
            <w:pPr>
              <w:textAlignment w:val="baseline"/>
              <w:rPr>
                <w:rFonts w:ascii="Calibri" w:eastAsia="Times New Roman" w:hAnsi="Calibri" w:cs="Calibri"/>
                <w:kern w:val="0"/>
                <w:lang w:eastAsia="en-GB"/>
                <w14:ligatures w14:val="none"/>
              </w:rPr>
            </w:pPr>
            <w:r w:rsidRPr="004F62C2">
              <w:rPr>
                <w:rFonts w:ascii="Calibri" w:eastAsia="Times New Roman" w:hAnsi="Calibri" w:cs="Calibri"/>
                <w:kern w:val="0"/>
                <w:lang w:eastAsia="en-GB"/>
                <w14:ligatures w14:val="none"/>
              </w:rPr>
              <w:t>This is discussed in Section 3.2 and Section 6.</w:t>
            </w:r>
            <w:r>
              <w:rPr>
                <w:rFonts w:ascii="Calibri" w:eastAsia="Times New Roman" w:hAnsi="Calibri" w:cs="Calibri"/>
                <w:kern w:val="0"/>
                <w:lang w:eastAsia="en-GB"/>
                <w14:ligatures w14:val="none"/>
              </w:rPr>
              <w:t>2</w:t>
            </w:r>
            <w:r w:rsidRPr="004F62C2">
              <w:rPr>
                <w:rFonts w:ascii="Calibri" w:eastAsia="Times New Roman" w:hAnsi="Calibri" w:cs="Calibri"/>
                <w:kern w:val="0"/>
                <w:lang w:eastAsia="en-GB"/>
                <w14:ligatures w14:val="none"/>
              </w:rPr>
              <w:t>, where the ECB encourages enhanced transparency and alignment with good practices but leaves implementation to supervisory follow-up and proportionality assessments.</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0C82D872" w:rsidR="00C82860" w:rsidRPr="00CF2E7C" w:rsidRDefault="00602B6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CA1D1B1" w14:textId="77777777" w:rsidR="0040337C" w:rsidRDefault="0040337C" w:rsidP="0040337C">
            <w:pPr>
              <w:textAlignment w:val="baseline"/>
              <w:rPr>
                <w:rFonts w:ascii="Calibri" w:eastAsia="Times New Roman" w:hAnsi="Calibri" w:cs="Calibri"/>
                <w:kern w:val="0"/>
                <w:lang w:eastAsia="en-GB"/>
                <w14:ligatures w14:val="none"/>
              </w:rPr>
            </w:pPr>
            <w:r w:rsidRPr="0040337C">
              <w:rPr>
                <w:rFonts w:ascii="Calibri" w:eastAsia="Times New Roman" w:hAnsi="Calibri" w:cs="Calibri"/>
                <w:kern w:val="0"/>
                <w:lang w:eastAsia="en-GB"/>
                <w14:ligatures w14:val="none"/>
              </w:rPr>
              <w:t xml:space="preserve">The ECB 2022 </w:t>
            </w:r>
            <w:r>
              <w:rPr>
                <w:rFonts w:ascii="Calibri" w:eastAsia="Times New Roman" w:hAnsi="Calibri" w:cs="Calibri"/>
                <w:kern w:val="0"/>
                <w:lang w:eastAsia="en-GB"/>
                <w14:ligatures w14:val="none"/>
              </w:rPr>
              <w:t>CRST</w:t>
            </w:r>
            <w:r w:rsidRPr="0040337C">
              <w:rPr>
                <w:rFonts w:ascii="Calibri" w:eastAsia="Times New Roman" w:hAnsi="Calibri" w:cs="Calibri"/>
                <w:kern w:val="0"/>
                <w:lang w:eastAsia="en-GB"/>
                <w14:ligatures w14:val="none"/>
              </w:rPr>
              <w:t xml:space="preserve"> recommends</w:t>
            </w:r>
            <w:r>
              <w:rPr>
                <w:rFonts w:ascii="Calibri" w:eastAsia="Times New Roman" w:hAnsi="Calibri" w:cs="Calibri"/>
                <w:kern w:val="0"/>
                <w:lang w:eastAsia="en-GB"/>
                <w14:ligatures w14:val="none"/>
              </w:rPr>
              <w:t xml:space="preserve"> </w:t>
            </w:r>
            <w:r w:rsidRPr="0040337C">
              <w:rPr>
                <w:rFonts w:ascii="Calibri" w:eastAsia="Times New Roman" w:hAnsi="Calibri" w:cs="Calibri"/>
                <w:kern w:val="0"/>
                <w:lang w:eastAsia="en-GB"/>
                <w14:ligatures w14:val="none"/>
              </w:rPr>
              <w:t xml:space="preserve">banks to assess climate-related risks as part of due diligence processes for new clients and transactions. </w:t>
            </w:r>
          </w:p>
          <w:p w14:paraId="5464A3A5" w14:textId="31984AEE" w:rsidR="00C82860" w:rsidRPr="00CF2E7C" w:rsidRDefault="0040337C" w:rsidP="0040337C">
            <w:pPr>
              <w:textAlignment w:val="baseline"/>
              <w:rPr>
                <w:rFonts w:ascii="Calibri" w:eastAsia="Times New Roman" w:hAnsi="Calibri" w:cs="Calibri"/>
                <w:kern w:val="0"/>
                <w:lang w:eastAsia="en-GB"/>
                <w14:ligatures w14:val="none"/>
              </w:rPr>
            </w:pPr>
            <w:r w:rsidRPr="0040337C">
              <w:rPr>
                <w:rFonts w:ascii="Calibri" w:eastAsia="Times New Roman" w:hAnsi="Calibri" w:cs="Calibri"/>
                <w:kern w:val="0"/>
                <w:lang w:eastAsia="en-GB"/>
                <w14:ligatures w14:val="none"/>
              </w:rPr>
              <w:t xml:space="preserve">In Section 3.3, the ECB observes that only a minority of banks integrate climate risk scores or client-level transition data into approval and pricing processes. These findings are assessed </w:t>
            </w:r>
            <w:r w:rsidRPr="0040337C">
              <w:rPr>
                <w:rFonts w:ascii="Calibri" w:eastAsia="Times New Roman" w:hAnsi="Calibri" w:cs="Calibri"/>
                <w:kern w:val="0"/>
                <w:lang w:eastAsia="en-GB"/>
                <w14:ligatures w14:val="none"/>
              </w:rPr>
              <w:lastRenderedPageBreak/>
              <w:t>against the expectations laid out in the ECB’s 2020 Guide on climate-related and environmental risks, which encourages the inclusion of climate factors in credit and investment due diligence.</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543D60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10CDE">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1AE9EEC"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10CDE">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3313B46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10CDE">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5ABEB55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10CDE">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613EB04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10CDE">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23DE2002" w:rsidR="00C82860" w:rsidRPr="00CF2E7C" w:rsidRDefault="00E01D3E" w:rsidP="00CF2E7C">
            <w:pPr>
              <w:textAlignment w:val="baseline"/>
              <w:rPr>
                <w:rFonts w:ascii="Calibri" w:eastAsia="Times New Roman" w:hAnsi="Calibri" w:cs="Calibri"/>
                <w:kern w:val="0"/>
                <w:lang w:eastAsia="en-GB"/>
                <w14:ligatures w14:val="none"/>
              </w:rPr>
            </w:pPr>
            <w:r w:rsidRPr="00E01D3E">
              <w:rPr>
                <w:rFonts w:ascii="Calibri" w:eastAsia="Times New Roman" w:hAnsi="Calibri" w:cs="Calibri"/>
                <w:kern w:val="0"/>
                <w:lang w:eastAsia="en-GB"/>
                <w14:ligatures w14:val="none"/>
              </w:rPr>
              <w:t xml:space="preserve">The ECB’s 2022 </w:t>
            </w:r>
            <w:r>
              <w:rPr>
                <w:rFonts w:ascii="Calibri" w:eastAsia="Times New Roman" w:hAnsi="Calibri" w:cs="Calibri"/>
                <w:kern w:val="0"/>
                <w:lang w:eastAsia="en-GB"/>
                <w14:ligatures w14:val="none"/>
              </w:rPr>
              <w:t>CRST</w:t>
            </w:r>
            <w:r w:rsidRPr="00E01D3E">
              <w:rPr>
                <w:rFonts w:ascii="Calibri" w:eastAsia="Times New Roman" w:hAnsi="Calibri" w:cs="Calibri"/>
                <w:kern w:val="0"/>
                <w:lang w:eastAsia="en-GB"/>
                <w14:ligatures w14:val="none"/>
              </w:rPr>
              <w:t xml:space="preserve"> recommends that banks use a range of metrics to monitor and assess portfolio exposures to transition and physical climate risks. These include income and exposures to carbon-intensive sectors (Section 4.1), counterparty-level GHG emissions and revenue data (Annex A.2), real estate energy ratings and geographic exposure to climate hazards (Section 4.2), and scenario-based projections of credit and market losses (Section 4.3).</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335ED5AB" w:rsidR="00655FF7" w:rsidRPr="00CF2E7C" w:rsidRDefault="00E436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718FC2D5" w:rsidR="003032A9" w:rsidRPr="00CF2E7C" w:rsidRDefault="00617E7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A1219E7" w14:textId="77777777" w:rsidR="00D44B12" w:rsidRDefault="00D44B12" w:rsidP="00CF2E7C">
            <w:pPr>
              <w:textAlignment w:val="baseline"/>
              <w:rPr>
                <w:rFonts w:ascii="Calibri" w:eastAsia="Times New Roman" w:hAnsi="Calibri" w:cs="Calibri"/>
                <w:kern w:val="0"/>
                <w:lang w:eastAsia="en-GB"/>
                <w14:ligatures w14:val="none"/>
              </w:rPr>
            </w:pPr>
            <w:r w:rsidRPr="00D44B12">
              <w:rPr>
                <w:rFonts w:ascii="Calibri" w:eastAsia="Times New Roman" w:hAnsi="Calibri" w:cs="Calibri"/>
                <w:kern w:val="0"/>
                <w:lang w:eastAsia="en-GB"/>
                <w14:ligatures w14:val="none"/>
              </w:rPr>
              <w:t>The stress test did not impose a formal threshold, but it was conducted exclusively for the 104 significant institutions directly supervised by the ECB under the Single Supervisory Mechanism</w:t>
            </w:r>
            <w:r>
              <w:rPr>
                <w:rFonts w:ascii="Calibri" w:eastAsia="Times New Roman" w:hAnsi="Calibri" w:cs="Calibri"/>
                <w:kern w:val="0"/>
                <w:lang w:eastAsia="en-GB"/>
                <w14:ligatures w14:val="none"/>
              </w:rPr>
              <w:t xml:space="preserve"> (</w:t>
            </w:r>
            <w:r w:rsidRPr="00D44B12">
              <w:rPr>
                <w:rFonts w:ascii="Calibri" w:eastAsia="Times New Roman" w:hAnsi="Calibri" w:cs="Calibri"/>
                <w:kern w:val="0"/>
                <w:lang w:eastAsia="en-GB"/>
                <w14:ligatures w14:val="none"/>
              </w:rPr>
              <w:t>Section 2.1</w:t>
            </w:r>
            <w:r>
              <w:rPr>
                <w:rFonts w:ascii="Calibri" w:eastAsia="Times New Roman" w:hAnsi="Calibri" w:cs="Calibri"/>
                <w:kern w:val="0"/>
                <w:lang w:eastAsia="en-GB"/>
                <w14:ligatures w14:val="none"/>
              </w:rPr>
              <w:t>)</w:t>
            </w:r>
            <w:r w:rsidRPr="00D44B12">
              <w:rPr>
                <w:rFonts w:ascii="Calibri" w:eastAsia="Times New Roman" w:hAnsi="Calibri" w:cs="Calibri"/>
                <w:kern w:val="0"/>
                <w:lang w:eastAsia="en-GB"/>
                <w14:ligatures w14:val="none"/>
              </w:rPr>
              <w:t xml:space="preserve">. </w:t>
            </w:r>
          </w:p>
          <w:p w14:paraId="7911ECCD" w14:textId="01277263" w:rsidR="009818E7" w:rsidRPr="00CF2E7C" w:rsidRDefault="00D44B12" w:rsidP="00CF2E7C">
            <w:pPr>
              <w:textAlignment w:val="baseline"/>
              <w:rPr>
                <w:rFonts w:ascii="Calibri" w:eastAsia="Times New Roman" w:hAnsi="Calibri" w:cs="Calibri"/>
                <w:kern w:val="0"/>
                <w:lang w:eastAsia="en-GB"/>
                <w14:ligatures w14:val="none"/>
              </w:rPr>
            </w:pPr>
            <w:r w:rsidRPr="00D44B12">
              <w:rPr>
                <w:rFonts w:ascii="Calibri" w:eastAsia="Times New Roman" w:hAnsi="Calibri" w:cs="Calibri"/>
                <w:kern w:val="0"/>
                <w:lang w:eastAsia="en-GB"/>
                <w14:ligatures w14:val="none"/>
              </w:rPr>
              <w:t>These institutions are designated as “significant” under Article 6(4) of Council Regulation (EU) No</w:t>
            </w:r>
            <w:r>
              <w:rPr>
                <w:rFonts w:ascii="Calibri" w:eastAsia="Times New Roman" w:hAnsi="Calibri" w:cs="Calibri"/>
                <w:kern w:val="0"/>
                <w:lang w:eastAsia="en-GB"/>
                <w14:ligatures w14:val="none"/>
              </w:rPr>
              <w:t>.</w:t>
            </w:r>
            <w:r w:rsidRPr="00D44B12">
              <w:rPr>
                <w:rFonts w:ascii="Calibri" w:eastAsia="Times New Roman" w:hAnsi="Calibri" w:cs="Calibri"/>
                <w:kern w:val="0"/>
                <w:lang w:eastAsia="en-GB"/>
                <w14:ligatures w14:val="none"/>
              </w:rPr>
              <w:t xml:space="preserve"> 1024/2013, typically due to their size (e.g. total assets &gt; €30 billion), cross-border activities or systemic importance.</w:t>
            </w: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22E503AE" w:rsidR="003D5104" w:rsidRPr="00CF2E7C" w:rsidRDefault="008F2F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46CAF4D7" w:rsidR="003D5104" w:rsidRPr="00CF2E7C" w:rsidRDefault="008F2F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BADA06D" w14:textId="77777777" w:rsidR="003D5104" w:rsidRDefault="003B1D93" w:rsidP="00CF2E7C">
            <w:pPr>
              <w:textAlignment w:val="baseline"/>
              <w:rPr>
                <w:rFonts w:ascii="Calibri" w:eastAsia="Times New Roman" w:hAnsi="Calibri" w:cs="Calibri"/>
                <w:kern w:val="0"/>
                <w:lang w:eastAsia="en-GB"/>
                <w14:ligatures w14:val="none"/>
              </w:rPr>
            </w:pPr>
            <w:r w:rsidRPr="003B1D93">
              <w:rPr>
                <w:rFonts w:ascii="Calibri" w:eastAsia="Times New Roman" w:hAnsi="Calibri" w:cs="Calibri"/>
                <w:kern w:val="0"/>
                <w:lang w:eastAsia="en-GB"/>
                <w14:ligatures w14:val="none"/>
              </w:rPr>
              <w:t>The scenarios used in the ECB’s 2022 climate stress test were provided by the Network for Greening the Financial System (NGFS) and operationalised by the ECB/ESRB Project Team on Climate Risk</w:t>
            </w:r>
            <w:r>
              <w:rPr>
                <w:rFonts w:ascii="Calibri" w:eastAsia="Times New Roman" w:hAnsi="Calibri" w:cs="Calibri"/>
                <w:kern w:val="0"/>
                <w:lang w:eastAsia="en-GB"/>
                <w14:ligatures w14:val="none"/>
              </w:rPr>
              <w:t xml:space="preserve"> (Box 1, pp. 12-15).</w:t>
            </w:r>
          </w:p>
          <w:p w14:paraId="61111CBE" w14:textId="0BB3D367" w:rsidR="003B1D93" w:rsidRPr="00CF2E7C" w:rsidRDefault="00517A5D" w:rsidP="00CF2E7C">
            <w:pPr>
              <w:textAlignment w:val="baseline"/>
              <w:rPr>
                <w:rFonts w:ascii="Calibri" w:eastAsia="Times New Roman" w:hAnsi="Calibri" w:cs="Calibri"/>
                <w:kern w:val="0"/>
                <w:lang w:eastAsia="en-GB"/>
                <w14:ligatures w14:val="none"/>
              </w:rPr>
            </w:pPr>
            <w:r w:rsidRPr="00517A5D">
              <w:rPr>
                <w:rFonts w:ascii="Calibri" w:eastAsia="Times New Roman" w:hAnsi="Calibri" w:cs="Calibri"/>
                <w:kern w:val="0"/>
                <w:lang w:eastAsia="en-GB"/>
                <w14:ligatures w14:val="none"/>
              </w:rPr>
              <w:t>The NGFS scenarios formed the basis for long-term transition and physical risk pathways, which were then quantified and modelled by the ECB for application in the bottom-up stress test.</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03A51BAD" w:rsidR="00BE1F9E" w:rsidRPr="00CF2E7C" w:rsidRDefault="00517A5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3662B421"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517A5D">
              <w:rPr>
                <w:rFonts w:ascii="Calibri" w:eastAsia="Times New Roman" w:hAnsi="Calibri" w:cs="Calibri"/>
                <w:kern w:val="0"/>
                <w:lang w:val="en-SG" w:eastAsia="en-GB"/>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4EF946C0" w14:textId="77777777" w:rsidR="00CB1989" w:rsidRDefault="00CB1989" w:rsidP="00CF2E7C">
            <w:pPr>
              <w:textAlignment w:val="baseline"/>
              <w:rPr>
                <w:rFonts w:ascii="Calibri" w:eastAsia="Times New Roman" w:hAnsi="Calibri" w:cs="Calibri"/>
                <w:kern w:val="0"/>
                <w:lang w:eastAsia="en-GB"/>
                <w14:ligatures w14:val="none"/>
              </w:rPr>
            </w:pPr>
            <w:r w:rsidRPr="00CB1989">
              <w:rPr>
                <w:rFonts w:ascii="Calibri" w:eastAsia="Times New Roman" w:hAnsi="Calibri" w:cs="Calibri"/>
                <w:kern w:val="0"/>
                <w:lang w:eastAsia="en-GB"/>
                <w14:ligatures w14:val="none"/>
              </w:rPr>
              <w:t xml:space="preserve">The climate scenarios used in the ECB’s 2022 </w:t>
            </w:r>
            <w:r>
              <w:rPr>
                <w:rFonts w:ascii="Calibri" w:eastAsia="Times New Roman" w:hAnsi="Calibri" w:cs="Calibri"/>
                <w:kern w:val="0"/>
                <w:lang w:eastAsia="en-GB"/>
                <w14:ligatures w14:val="none"/>
              </w:rPr>
              <w:t xml:space="preserve">stress test </w:t>
            </w:r>
            <w:r w:rsidRPr="00CB1989">
              <w:rPr>
                <w:rFonts w:ascii="Calibri" w:eastAsia="Times New Roman" w:hAnsi="Calibri" w:cs="Calibri"/>
                <w:kern w:val="0"/>
                <w:lang w:eastAsia="en-GB"/>
                <w14:ligatures w14:val="none"/>
              </w:rPr>
              <w:t xml:space="preserve">were selected by the ECB, based on internationally recognised pathways developed by the Network for Greening the Financial System (NGFS). </w:t>
            </w:r>
          </w:p>
          <w:p w14:paraId="115FE77B" w14:textId="4CFE330D" w:rsidR="00CB1989" w:rsidRDefault="00CB1989" w:rsidP="00CF2E7C">
            <w:pPr>
              <w:textAlignment w:val="baseline"/>
              <w:rPr>
                <w:rFonts w:ascii="Calibri" w:eastAsia="Times New Roman" w:hAnsi="Calibri" w:cs="Calibri"/>
                <w:kern w:val="0"/>
                <w:lang w:eastAsia="en-GB"/>
                <w14:ligatures w14:val="none"/>
              </w:rPr>
            </w:pPr>
            <w:r w:rsidRPr="00CB1989">
              <w:rPr>
                <w:rFonts w:ascii="Calibri" w:eastAsia="Times New Roman" w:hAnsi="Calibri" w:cs="Calibri"/>
                <w:kern w:val="0"/>
                <w:lang w:eastAsia="en-GB"/>
                <w14:ligatures w14:val="none"/>
              </w:rPr>
              <w:t>These scenarios</w:t>
            </w:r>
            <w:r>
              <w:rPr>
                <w:rFonts w:ascii="Calibri" w:eastAsia="Times New Roman" w:hAnsi="Calibri" w:cs="Calibri"/>
                <w:kern w:val="0"/>
                <w:lang w:eastAsia="en-GB"/>
                <w14:ligatures w14:val="none"/>
              </w:rPr>
              <w:t xml:space="preserve"> (</w:t>
            </w:r>
            <w:r w:rsidRPr="00CB1989">
              <w:rPr>
                <w:rFonts w:ascii="Calibri" w:eastAsia="Times New Roman" w:hAnsi="Calibri" w:cs="Calibri"/>
                <w:kern w:val="0"/>
                <w:lang w:eastAsia="en-GB"/>
                <w14:ligatures w14:val="none"/>
              </w:rPr>
              <w:t>orderly, disorderly and hot house world</w:t>
            </w:r>
            <w:r>
              <w:rPr>
                <w:rFonts w:ascii="Calibri" w:eastAsia="Times New Roman" w:hAnsi="Calibri" w:cs="Calibri"/>
                <w:kern w:val="0"/>
                <w:lang w:eastAsia="en-GB"/>
                <w14:ligatures w14:val="none"/>
              </w:rPr>
              <w:t xml:space="preserve">) </w:t>
            </w:r>
            <w:r w:rsidRPr="00CB1989">
              <w:rPr>
                <w:rFonts w:ascii="Calibri" w:eastAsia="Times New Roman" w:hAnsi="Calibri" w:cs="Calibri"/>
                <w:kern w:val="0"/>
                <w:lang w:eastAsia="en-GB"/>
                <w14:ligatures w14:val="none"/>
              </w:rPr>
              <w:t>were adapted by the ECB and the ESRB Project Team on Climate Risk to the euro area context through macro-financial modelling</w:t>
            </w:r>
            <w:r>
              <w:rPr>
                <w:rFonts w:ascii="Calibri" w:eastAsia="Times New Roman" w:hAnsi="Calibri" w:cs="Calibri"/>
                <w:kern w:val="0"/>
                <w:lang w:eastAsia="en-GB"/>
                <w14:ligatures w14:val="none"/>
              </w:rPr>
              <w:t xml:space="preserve"> (</w:t>
            </w:r>
            <w:r w:rsidRPr="00CB1989">
              <w:rPr>
                <w:rFonts w:ascii="Calibri" w:eastAsia="Times New Roman" w:hAnsi="Calibri" w:cs="Calibri"/>
                <w:kern w:val="0"/>
                <w:lang w:eastAsia="en-GB"/>
                <w14:ligatures w14:val="none"/>
              </w:rPr>
              <w:t>Box 1</w:t>
            </w:r>
            <w:r>
              <w:rPr>
                <w:rFonts w:ascii="Calibri" w:eastAsia="Times New Roman" w:hAnsi="Calibri" w:cs="Calibri"/>
                <w:kern w:val="0"/>
                <w:lang w:eastAsia="en-GB"/>
                <w14:ligatures w14:val="none"/>
              </w:rPr>
              <w:t xml:space="preserve">, </w:t>
            </w:r>
            <w:r w:rsidRPr="00CB1989">
              <w:rPr>
                <w:rFonts w:ascii="Calibri" w:eastAsia="Times New Roman" w:hAnsi="Calibri" w:cs="Calibri"/>
                <w:kern w:val="0"/>
                <w:lang w:eastAsia="en-GB"/>
                <w14:ligatures w14:val="none"/>
              </w:rPr>
              <w:t xml:space="preserve">pp. 12–15). </w:t>
            </w:r>
          </w:p>
          <w:p w14:paraId="5C18CF55" w14:textId="1F4767A5" w:rsidR="00BE1F9E" w:rsidRPr="00CF2E7C" w:rsidRDefault="00CB1989" w:rsidP="00CF2E7C">
            <w:pPr>
              <w:textAlignment w:val="baseline"/>
              <w:rPr>
                <w:rFonts w:ascii="Calibri" w:eastAsia="Times New Roman" w:hAnsi="Calibri" w:cs="Calibri"/>
                <w:kern w:val="0"/>
                <w:lang w:eastAsia="en-GB"/>
                <w14:ligatures w14:val="none"/>
              </w:rPr>
            </w:pPr>
            <w:r w:rsidRPr="00CB1989">
              <w:rPr>
                <w:rFonts w:ascii="Calibri" w:eastAsia="Times New Roman" w:hAnsi="Calibri" w:cs="Calibri"/>
                <w:kern w:val="0"/>
                <w:lang w:eastAsia="en-GB"/>
                <w14:ligatures w14:val="none"/>
              </w:rPr>
              <w:t>Banks were required to apply the provided scenarios in their internal projections; scenario selection was not left to the discretion of individual banks.</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628C656E" w:rsidR="00DC31BF" w:rsidRPr="00CF2E7C" w:rsidRDefault="00B670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F1C1350" w:rsidR="00DC31BF" w:rsidRPr="00CF2E7C" w:rsidRDefault="00B670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070F818D" w:rsidR="0098226E" w:rsidRPr="00CF2E7C" w:rsidRDefault="008042A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8E9A75B" w:rsidR="0098226E" w:rsidRPr="00CF2E7C" w:rsidRDefault="008042A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6B58C815" w:rsidR="0098226E" w:rsidRPr="00CF2E7C" w:rsidRDefault="008042A5" w:rsidP="00CF2E7C">
            <w:pPr>
              <w:textAlignment w:val="baseline"/>
              <w:rPr>
                <w:rFonts w:ascii="Calibri" w:eastAsia="Times New Roman" w:hAnsi="Calibri" w:cs="Calibri"/>
                <w:kern w:val="0"/>
                <w:lang w:eastAsia="en-GB"/>
                <w14:ligatures w14:val="none"/>
              </w:rPr>
            </w:pPr>
            <w:r w:rsidRPr="008042A5">
              <w:rPr>
                <w:rFonts w:ascii="Calibri" w:eastAsia="Times New Roman" w:hAnsi="Calibri" w:cs="Calibri"/>
                <w:kern w:val="0"/>
                <w:lang w:eastAsia="en-GB"/>
                <w14:ligatures w14:val="none"/>
              </w:rPr>
              <w:t xml:space="preserve">The ECB’s 2022 </w:t>
            </w:r>
            <w:r>
              <w:rPr>
                <w:rFonts w:ascii="Calibri" w:eastAsia="Times New Roman" w:hAnsi="Calibri" w:cs="Calibri"/>
                <w:kern w:val="0"/>
                <w:lang w:eastAsia="en-GB"/>
                <w14:ligatures w14:val="none"/>
              </w:rPr>
              <w:t>CRST</w:t>
            </w:r>
            <w:r w:rsidRPr="008042A5">
              <w:rPr>
                <w:rFonts w:ascii="Calibri" w:eastAsia="Times New Roman" w:hAnsi="Calibri" w:cs="Calibri"/>
                <w:kern w:val="0"/>
                <w:lang w:eastAsia="en-GB"/>
                <w14:ligatures w14:val="none"/>
              </w:rPr>
              <w:t xml:space="preserve"> was explicitly described as a “one-off” ad-hoc exercise, rather than a recurring requirement. It formed part of the ECB’s broader 2022 climate agenda, intended to assess the state of preparedness of banks and to inform future supervisory actions</w:t>
            </w:r>
            <w:r>
              <w:rPr>
                <w:rFonts w:ascii="Calibri" w:eastAsia="Times New Roman" w:hAnsi="Calibri" w:cs="Calibri"/>
                <w:kern w:val="0"/>
                <w:lang w:eastAsia="en-GB"/>
                <w14:ligatures w14:val="none"/>
              </w:rPr>
              <w:t xml:space="preserve"> (Section 1.1)</w:t>
            </w:r>
            <w:r w:rsidRPr="008042A5">
              <w:rPr>
                <w:rFonts w:ascii="Calibri" w:eastAsia="Times New Roman" w:hAnsi="Calibri" w:cs="Calibri"/>
                <w:kern w:val="0"/>
                <w:lang w:eastAsia="en-GB"/>
                <w14:ligatures w14:val="none"/>
              </w:rPr>
              <w:t>.</w:t>
            </w: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274B9E0A" w:rsidR="00F10A6E" w:rsidRPr="00CF2E7C" w:rsidRDefault="00404C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1AFABB5A" w:rsidR="00F10A6E" w:rsidRPr="00CF2E7C" w:rsidRDefault="00404C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3EC9856" w14:textId="77777777" w:rsidR="00FA4C3E" w:rsidRDefault="00FA4C3E" w:rsidP="00CF2E7C">
            <w:pPr>
              <w:textAlignment w:val="baseline"/>
              <w:rPr>
                <w:rFonts w:ascii="Calibri" w:eastAsia="Times New Roman" w:hAnsi="Calibri" w:cs="Calibri"/>
                <w:kern w:val="0"/>
                <w:lang w:eastAsia="en-GB"/>
                <w14:ligatures w14:val="none"/>
              </w:rPr>
            </w:pPr>
            <w:r w:rsidRPr="00FA4C3E">
              <w:rPr>
                <w:rFonts w:ascii="Calibri" w:eastAsia="Times New Roman" w:hAnsi="Calibri" w:cs="Calibri"/>
                <w:kern w:val="0"/>
                <w:lang w:eastAsia="en-GB"/>
                <w14:ligatures w14:val="none"/>
              </w:rPr>
              <w:t xml:space="preserve">The ECB’s 2022 </w:t>
            </w:r>
            <w:r>
              <w:rPr>
                <w:rFonts w:ascii="Calibri" w:eastAsia="Times New Roman" w:hAnsi="Calibri" w:cs="Calibri"/>
                <w:kern w:val="0"/>
                <w:lang w:eastAsia="en-GB"/>
                <w14:ligatures w14:val="none"/>
              </w:rPr>
              <w:t>CRST</w:t>
            </w:r>
            <w:r w:rsidRPr="00FA4C3E">
              <w:rPr>
                <w:rFonts w:ascii="Calibri" w:eastAsia="Times New Roman" w:hAnsi="Calibri" w:cs="Calibri"/>
                <w:kern w:val="0"/>
                <w:lang w:eastAsia="en-GB"/>
                <w14:ligatures w14:val="none"/>
              </w:rPr>
              <w:t xml:space="preserve"> considered both a short-term horizon of three years and a long-term horizon extending to 2050 (30 years). </w:t>
            </w:r>
          </w:p>
          <w:p w14:paraId="7BF7E5E9" w14:textId="18370940" w:rsidR="00F10A6E" w:rsidRPr="00CF2E7C" w:rsidRDefault="00FA4C3E" w:rsidP="00FA4C3E">
            <w:pPr>
              <w:textAlignment w:val="baseline"/>
              <w:rPr>
                <w:rFonts w:ascii="Calibri" w:eastAsia="Times New Roman" w:hAnsi="Calibri" w:cs="Calibri"/>
                <w:kern w:val="0"/>
                <w:lang w:eastAsia="en-GB"/>
                <w14:ligatures w14:val="none"/>
              </w:rPr>
            </w:pPr>
            <w:r w:rsidRPr="00FA4C3E">
              <w:rPr>
                <w:rFonts w:ascii="Calibri" w:eastAsia="Times New Roman" w:hAnsi="Calibri" w:cs="Calibri"/>
                <w:kern w:val="0"/>
                <w:lang w:eastAsia="en-GB"/>
                <w14:ligatures w14:val="none"/>
              </w:rPr>
              <w:t>The short-term projections were used to simulate losses under immediate climate shocks (Section 4.3), while the long-term horizon was based on the NGFS scenario framework and modelled macroeconomic variables over a 30-year path to capture the structural impact of the net-zero transition (Box 1, pp. 12</w:t>
            </w:r>
            <w:r>
              <w:rPr>
                <w:rFonts w:ascii="Calibri" w:eastAsia="Times New Roman" w:hAnsi="Calibri" w:cs="Calibri"/>
                <w:kern w:val="0"/>
                <w:lang w:eastAsia="en-GB"/>
                <w14:ligatures w14:val="none"/>
              </w:rPr>
              <w:t>-</w:t>
            </w:r>
            <w:r w:rsidRPr="00FA4C3E">
              <w:rPr>
                <w:rFonts w:ascii="Calibri" w:eastAsia="Times New Roman" w:hAnsi="Calibri" w:cs="Calibri"/>
                <w:kern w:val="0"/>
                <w:lang w:eastAsia="en-GB"/>
                <w14:ligatures w14:val="none"/>
              </w:rPr>
              <w:t>15).</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2FFCBF0D" w:rsidR="00F26296" w:rsidRPr="00CF2E7C" w:rsidRDefault="00A127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E3A2274" w:rsidR="00F26296" w:rsidRPr="00CF2E7C" w:rsidRDefault="00A127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1F1D1476" w14:textId="77777777" w:rsidR="003D7106" w:rsidRDefault="00C534C6" w:rsidP="00CF2E7C">
            <w:pPr>
              <w:textAlignment w:val="baseline"/>
              <w:rPr>
                <w:rFonts w:ascii="Calibri" w:eastAsia="Times New Roman" w:hAnsi="Calibri" w:cs="Calibri"/>
                <w:kern w:val="0"/>
                <w:lang w:eastAsia="en-GB"/>
                <w14:ligatures w14:val="none"/>
              </w:rPr>
            </w:pPr>
            <w:r w:rsidRPr="00C534C6">
              <w:rPr>
                <w:rFonts w:ascii="Calibri" w:eastAsia="Times New Roman" w:hAnsi="Calibri" w:cs="Calibri"/>
                <w:kern w:val="0"/>
                <w:lang w:eastAsia="en-GB"/>
                <w14:ligatures w14:val="none"/>
              </w:rPr>
              <w:t xml:space="preserve">The ECB’s 2022 </w:t>
            </w:r>
            <w:r>
              <w:rPr>
                <w:rFonts w:ascii="Calibri" w:eastAsia="Times New Roman" w:hAnsi="Calibri" w:cs="Calibri"/>
                <w:kern w:val="0"/>
                <w:lang w:eastAsia="en-GB"/>
                <w14:ligatures w14:val="none"/>
              </w:rPr>
              <w:t>CRST</w:t>
            </w:r>
            <w:r w:rsidRPr="00C534C6">
              <w:rPr>
                <w:rFonts w:ascii="Calibri" w:eastAsia="Times New Roman" w:hAnsi="Calibri" w:cs="Calibri"/>
                <w:kern w:val="0"/>
                <w:lang w:eastAsia="en-GB"/>
                <w14:ligatures w14:val="none"/>
              </w:rPr>
              <w:t xml:space="preserve"> was not used to set capital or liquidity buffers (Section 1.1) but rather served as a supervisory tool to inform dialogue on climate governance and risk management.</w:t>
            </w:r>
          </w:p>
          <w:p w14:paraId="7D9BD381" w14:textId="279F2361" w:rsidR="00C534C6" w:rsidRDefault="00C534C6" w:rsidP="00CF2E7C">
            <w:pPr>
              <w:textAlignment w:val="baseline"/>
              <w:rPr>
                <w:rFonts w:ascii="Calibri" w:eastAsia="Times New Roman" w:hAnsi="Calibri" w:cs="Calibri"/>
                <w:kern w:val="0"/>
                <w:lang w:eastAsia="en-GB"/>
                <w14:ligatures w14:val="none"/>
              </w:rPr>
            </w:pPr>
            <w:r w:rsidRPr="00C534C6">
              <w:rPr>
                <w:rFonts w:ascii="Calibri" w:eastAsia="Times New Roman" w:hAnsi="Calibri" w:cs="Calibri"/>
                <w:kern w:val="0"/>
                <w:lang w:eastAsia="en-GB"/>
                <w14:ligatures w14:val="none"/>
              </w:rPr>
              <w:t>Supervisors used the results to issue qualitative findings and request remedial action from banks falling short of expectations (Section 6.2</w:t>
            </w:r>
            <w:r>
              <w:rPr>
                <w:rFonts w:ascii="Calibri" w:eastAsia="Times New Roman" w:hAnsi="Calibri" w:cs="Calibri"/>
                <w:kern w:val="0"/>
                <w:lang w:eastAsia="en-GB"/>
                <w14:ligatures w14:val="none"/>
              </w:rPr>
              <w:t xml:space="preserve"> and</w:t>
            </w:r>
            <w:r w:rsidRPr="00C534C6">
              <w:rPr>
                <w:rFonts w:ascii="Calibri" w:eastAsia="Times New Roman" w:hAnsi="Calibri" w:cs="Calibri"/>
                <w:kern w:val="0"/>
                <w:lang w:eastAsia="en-GB"/>
                <w14:ligatures w14:val="none"/>
              </w:rPr>
              <w:t xml:space="preserve"> Executive Summary, p. 3)</w:t>
            </w:r>
            <w:r>
              <w:rPr>
                <w:rFonts w:ascii="Calibri" w:eastAsia="Times New Roman" w:hAnsi="Calibri" w:cs="Calibri"/>
                <w:kern w:val="0"/>
                <w:lang w:eastAsia="en-GB"/>
                <w14:ligatures w14:val="none"/>
              </w:rPr>
              <w:t>.</w:t>
            </w:r>
          </w:p>
          <w:p w14:paraId="02DA5710" w14:textId="49CAA153" w:rsidR="00F26296" w:rsidRPr="00CF2E7C" w:rsidRDefault="00C534C6" w:rsidP="00CF2E7C">
            <w:pPr>
              <w:textAlignment w:val="baseline"/>
              <w:rPr>
                <w:rFonts w:ascii="Calibri" w:eastAsia="Times New Roman" w:hAnsi="Calibri" w:cs="Calibri"/>
                <w:kern w:val="0"/>
                <w:lang w:eastAsia="en-GB"/>
                <w14:ligatures w14:val="none"/>
              </w:rPr>
            </w:pPr>
            <w:r w:rsidRPr="00C534C6">
              <w:rPr>
                <w:rFonts w:ascii="Calibri" w:eastAsia="Times New Roman" w:hAnsi="Calibri" w:cs="Calibri"/>
                <w:kern w:val="0"/>
                <w:lang w:eastAsia="en-GB"/>
                <w14:ligatures w14:val="none"/>
              </w:rPr>
              <w:t>Additionally, the exercise functioned as a data-gathering and capacity-building initiative for both banks and the ECB, enhancing their understanding of climate risk exposures and stress-testing capabilities (Section 6.1).</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155A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F157A">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51EF9B3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F157A">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0BD71A9C" w:rsidR="00FE0EA5" w:rsidRPr="009C4D10" w:rsidRDefault="00FE0EA5" w:rsidP="00CF2E7C">
            <w:pPr>
              <w:rPr>
                <w:rFonts w:cstheme="minorHAnsi"/>
              </w:rPr>
            </w:pPr>
            <w:r w:rsidRPr="009C4D10">
              <w:rPr>
                <w:rFonts w:cstheme="minorHAnsi"/>
                <w:lang w:val="en-SG"/>
              </w:rPr>
              <w:t> </w:t>
            </w:r>
            <w:r w:rsidRPr="009C4D10">
              <w:rPr>
                <w:rFonts w:cstheme="minorHAnsi"/>
              </w:rPr>
              <w:t> </w:t>
            </w:r>
            <w:r w:rsidR="00B1356A">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56248A31" w:rsidR="00FE0EA5" w:rsidRPr="009C4D10" w:rsidRDefault="00FE0EA5" w:rsidP="00CF2E7C">
            <w:pPr>
              <w:rPr>
                <w:rFonts w:cstheme="minorHAnsi"/>
              </w:rPr>
            </w:pPr>
            <w:r w:rsidRPr="009C4D10">
              <w:rPr>
                <w:rFonts w:cstheme="minorHAnsi"/>
                <w:lang w:val="en-SG"/>
              </w:rPr>
              <w:t> </w:t>
            </w:r>
            <w:r w:rsidRPr="009C4D10">
              <w:rPr>
                <w:rFonts w:cstheme="minorHAnsi"/>
              </w:rPr>
              <w:t> </w:t>
            </w:r>
            <w:r w:rsidR="00B1356A">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3CC8BA5" w:rsidR="00FE0EA5" w:rsidRPr="009C4D10" w:rsidRDefault="00B1356A" w:rsidP="00CF2E7C">
            <w:pPr>
              <w:rPr>
                <w:rFonts w:cstheme="minorHAnsi"/>
              </w:rPr>
            </w:pPr>
            <w:r>
              <w:rPr>
                <w:rFonts w:cstheme="minorHAnsi"/>
                <w:lang w:val="en-SG"/>
              </w:rPr>
              <w:t>X</w:t>
            </w:r>
            <w:r w:rsidR="00FE0EA5" w:rsidRPr="009C4D10">
              <w:rPr>
                <w:rFonts w:cstheme="minorHAnsi"/>
                <w:lang w:val="en-SG"/>
              </w:rPr>
              <w:t> </w:t>
            </w:r>
            <w:r w:rsidR="00FE0EA5"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32818A4C" w:rsidR="00FE0EA5" w:rsidRPr="009C4D10" w:rsidRDefault="00B1356A" w:rsidP="00CF2E7C">
            <w:pPr>
              <w:rPr>
                <w:rFonts w:cstheme="minorHAnsi"/>
              </w:rPr>
            </w:pPr>
            <w:r>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2EA3625F" w:rsidR="00FE0EA5" w:rsidRPr="009C4D10" w:rsidRDefault="00FE0EA5" w:rsidP="00CF2E7C">
            <w:pPr>
              <w:rPr>
                <w:rFonts w:cstheme="minorHAnsi"/>
              </w:rPr>
            </w:pPr>
            <w:r w:rsidRPr="009C4D10">
              <w:rPr>
                <w:rFonts w:cstheme="minorHAnsi"/>
                <w:lang w:val="en-SG"/>
              </w:rPr>
              <w:t> </w:t>
            </w:r>
            <w:r w:rsidRPr="009C4D10">
              <w:rPr>
                <w:rFonts w:cstheme="minorHAnsi"/>
              </w:rPr>
              <w:t> </w:t>
            </w:r>
            <w:r w:rsidR="00B1356A">
              <w:rPr>
                <w:rFonts w:cstheme="minorHAnsi"/>
              </w:rPr>
              <w:t>X</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4D01AB68" w:rsidR="00FE0EA5" w:rsidRPr="009C4D10" w:rsidRDefault="00B1356A" w:rsidP="00CF2E7C">
            <w:pPr>
              <w:rPr>
                <w:rFonts w:cstheme="minorHAnsi"/>
              </w:rPr>
            </w:pPr>
            <w:r>
              <w:rPr>
                <w:rFonts w:cstheme="minorHAnsi"/>
              </w:rPr>
              <w:t>X</w:t>
            </w:r>
            <w:r w:rsidR="00FE0EA5"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541986E7" w:rsidR="00FE0EA5" w:rsidRPr="009C4D10" w:rsidRDefault="00FE0EA5" w:rsidP="00CF2E7C">
            <w:pPr>
              <w:rPr>
                <w:rFonts w:cstheme="minorHAnsi"/>
              </w:rPr>
            </w:pPr>
            <w:r w:rsidRPr="009C4D10">
              <w:rPr>
                <w:rFonts w:cstheme="minorHAnsi"/>
                <w:lang w:val="en-SG"/>
              </w:rPr>
              <w:t> </w:t>
            </w:r>
            <w:r w:rsidRPr="009C4D10">
              <w:rPr>
                <w:rFonts w:cstheme="minorHAnsi"/>
              </w:rPr>
              <w:t> </w:t>
            </w:r>
            <w:r w:rsidR="00B1356A">
              <w:rPr>
                <w:rFonts w:cstheme="minorHAnsi"/>
              </w:rPr>
              <w:t>X</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34EE0A0A" w:rsidR="00433E3C" w:rsidRPr="009C4D10" w:rsidRDefault="00433E3C" w:rsidP="00BF35E2">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58DDAA" w14:textId="77777777" w:rsidR="00941462" w:rsidRDefault="00941462" w:rsidP="00874E39">
      <w:r>
        <w:separator/>
      </w:r>
    </w:p>
  </w:endnote>
  <w:endnote w:type="continuationSeparator" w:id="0">
    <w:p w14:paraId="2D254D32" w14:textId="77777777" w:rsidR="00941462" w:rsidRDefault="00941462" w:rsidP="00874E39">
      <w:r>
        <w:continuationSeparator/>
      </w:r>
    </w:p>
  </w:endnote>
  <w:endnote w:type="continuationNotice" w:id="1">
    <w:p w14:paraId="63561F8C" w14:textId="77777777" w:rsidR="00941462" w:rsidRDefault="0094146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1F2596" w14:textId="77777777" w:rsidR="00941462" w:rsidRDefault="00941462" w:rsidP="00874E39">
      <w:r>
        <w:separator/>
      </w:r>
    </w:p>
  </w:footnote>
  <w:footnote w:type="continuationSeparator" w:id="0">
    <w:p w14:paraId="1389207A" w14:textId="77777777" w:rsidR="00941462" w:rsidRDefault="00941462" w:rsidP="00874E39">
      <w:r>
        <w:continuationSeparator/>
      </w:r>
    </w:p>
  </w:footnote>
  <w:footnote w:type="continuationNotice" w:id="1">
    <w:p w14:paraId="017A387A" w14:textId="77777777" w:rsidR="00941462" w:rsidRDefault="0094146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0FD6"/>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8AD"/>
    <w:rsid w:val="00161D1B"/>
    <w:rsid w:val="00162CC0"/>
    <w:rsid w:val="00164519"/>
    <w:rsid w:val="00170572"/>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7B48"/>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172B"/>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3AA1"/>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282"/>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1D93"/>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D7106"/>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337C"/>
    <w:rsid w:val="00404119"/>
    <w:rsid w:val="00404453"/>
    <w:rsid w:val="00404C1D"/>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3E3C"/>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0640"/>
    <w:rsid w:val="0049168C"/>
    <w:rsid w:val="00491BA3"/>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62C2"/>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5D"/>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0E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35D"/>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EB7"/>
    <w:rsid w:val="005B355B"/>
    <w:rsid w:val="005B4539"/>
    <w:rsid w:val="005C327C"/>
    <w:rsid w:val="005C4420"/>
    <w:rsid w:val="005C5681"/>
    <w:rsid w:val="005C6A1D"/>
    <w:rsid w:val="005C765C"/>
    <w:rsid w:val="005C7DF6"/>
    <w:rsid w:val="005D02C9"/>
    <w:rsid w:val="005D186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B65"/>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E7A"/>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5A4F"/>
    <w:rsid w:val="006878AC"/>
    <w:rsid w:val="00690717"/>
    <w:rsid w:val="00690B2A"/>
    <w:rsid w:val="006936EF"/>
    <w:rsid w:val="006943E9"/>
    <w:rsid w:val="00694A4F"/>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3C2E"/>
    <w:rsid w:val="007245FC"/>
    <w:rsid w:val="007250A6"/>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53E"/>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4984"/>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5A56"/>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2A5"/>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369"/>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BAA"/>
    <w:rsid w:val="00836174"/>
    <w:rsid w:val="00836AFC"/>
    <w:rsid w:val="008377D4"/>
    <w:rsid w:val="00840208"/>
    <w:rsid w:val="0084099E"/>
    <w:rsid w:val="00840D64"/>
    <w:rsid w:val="0084197D"/>
    <w:rsid w:val="00842886"/>
    <w:rsid w:val="008432F5"/>
    <w:rsid w:val="008434EB"/>
    <w:rsid w:val="008455E5"/>
    <w:rsid w:val="00845F20"/>
    <w:rsid w:val="0084684C"/>
    <w:rsid w:val="008472B1"/>
    <w:rsid w:val="00850568"/>
    <w:rsid w:val="0085060B"/>
    <w:rsid w:val="00850F36"/>
    <w:rsid w:val="008510EC"/>
    <w:rsid w:val="00851476"/>
    <w:rsid w:val="00853253"/>
    <w:rsid w:val="00854B57"/>
    <w:rsid w:val="00854CE2"/>
    <w:rsid w:val="0085591B"/>
    <w:rsid w:val="0085623B"/>
    <w:rsid w:val="008569FA"/>
    <w:rsid w:val="008577E3"/>
    <w:rsid w:val="00860CA9"/>
    <w:rsid w:val="00861D43"/>
    <w:rsid w:val="00862394"/>
    <w:rsid w:val="00862AB1"/>
    <w:rsid w:val="00862EB9"/>
    <w:rsid w:val="008642FE"/>
    <w:rsid w:val="008650EB"/>
    <w:rsid w:val="0087096F"/>
    <w:rsid w:val="008709CF"/>
    <w:rsid w:val="0087149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295"/>
    <w:rsid w:val="00887A64"/>
    <w:rsid w:val="00887EED"/>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2F8E"/>
    <w:rsid w:val="008F31B3"/>
    <w:rsid w:val="008F32F0"/>
    <w:rsid w:val="008F520A"/>
    <w:rsid w:val="008F6A58"/>
    <w:rsid w:val="008F6F09"/>
    <w:rsid w:val="00900BE0"/>
    <w:rsid w:val="0090170E"/>
    <w:rsid w:val="00901BF4"/>
    <w:rsid w:val="00901C62"/>
    <w:rsid w:val="00902595"/>
    <w:rsid w:val="0090264D"/>
    <w:rsid w:val="00903BD2"/>
    <w:rsid w:val="00905C1A"/>
    <w:rsid w:val="00905E6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47EC"/>
    <w:rsid w:val="009370E9"/>
    <w:rsid w:val="00937D9B"/>
    <w:rsid w:val="00940E65"/>
    <w:rsid w:val="0094115B"/>
    <w:rsid w:val="00941462"/>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F2B"/>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0A"/>
    <w:rsid w:val="00984D24"/>
    <w:rsid w:val="00984DBA"/>
    <w:rsid w:val="0098621E"/>
    <w:rsid w:val="009868E2"/>
    <w:rsid w:val="00991124"/>
    <w:rsid w:val="009923B6"/>
    <w:rsid w:val="009926EF"/>
    <w:rsid w:val="00993609"/>
    <w:rsid w:val="00994653"/>
    <w:rsid w:val="00994C5F"/>
    <w:rsid w:val="00994E6E"/>
    <w:rsid w:val="0099565B"/>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24F"/>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2748"/>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3B1E"/>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0A78"/>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467"/>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56A"/>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08B"/>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35E2"/>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34C6"/>
    <w:rsid w:val="00C55D72"/>
    <w:rsid w:val="00C56D45"/>
    <w:rsid w:val="00C57511"/>
    <w:rsid w:val="00C6146F"/>
    <w:rsid w:val="00C627F5"/>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875F6"/>
    <w:rsid w:val="00C93AD3"/>
    <w:rsid w:val="00C93F42"/>
    <w:rsid w:val="00C9418B"/>
    <w:rsid w:val="00C95D67"/>
    <w:rsid w:val="00C97222"/>
    <w:rsid w:val="00CA0DAE"/>
    <w:rsid w:val="00CA0E49"/>
    <w:rsid w:val="00CA1535"/>
    <w:rsid w:val="00CA5087"/>
    <w:rsid w:val="00CA58EE"/>
    <w:rsid w:val="00CA7EEF"/>
    <w:rsid w:val="00CB1649"/>
    <w:rsid w:val="00CB179D"/>
    <w:rsid w:val="00CB1989"/>
    <w:rsid w:val="00CB3E5E"/>
    <w:rsid w:val="00CB4EBD"/>
    <w:rsid w:val="00CB6338"/>
    <w:rsid w:val="00CB76AA"/>
    <w:rsid w:val="00CB790E"/>
    <w:rsid w:val="00CC1407"/>
    <w:rsid w:val="00CC2175"/>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157A"/>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172"/>
    <w:rsid w:val="00D405E6"/>
    <w:rsid w:val="00D43237"/>
    <w:rsid w:val="00D4323A"/>
    <w:rsid w:val="00D442ED"/>
    <w:rsid w:val="00D44B12"/>
    <w:rsid w:val="00D44C0E"/>
    <w:rsid w:val="00D46116"/>
    <w:rsid w:val="00D46297"/>
    <w:rsid w:val="00D4693D"/>
    <w:rsid w:val="00D46B07"/>
    <w:rsid w:val="00D46CEC"/>
    <w:rsid w:val="00D47404"/>
    <w:rsid w:val="00D510DA"/>
    <w:rsid w:val="00D53F8D"/>
    <w:rsid w:val="00D547E6"/>
    <w:rsid w:val="00D54BD3"/>
    <w:rsid w:val="00D56EA7"/>
    <w:rsid w:val="00D57AD5"/>
    <w:rsid w:val="00D6003F"/>
    <w:rsid w:val="00D60275"/>
    <w:rsid w:val="00D637B2"/>
    <w:rsid w:val="00D6386F"/>
    <w:rsid w:val="00D646A9"/>
    <w:rsid w:val="00D66DDD"/>
    <w:rsid w:val="00D67EB7"/>
    <w:rsid w:val="00D70367"/>
    <w:rsid w:val="00D7554F"/>
    <w:rsid w:val="00D765DD"/>
    <w:rsid w:val="00D76854"/>
    <w:rsid w:val="00D80C46"/>
    <w:rsid w:val="00D818DF"/>
    <w:rsid w:val="00D82190"/>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1D3E"/>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38E5"/>
    <w:rsid w:val="00E244AA"/>
    <w:rsid w:val="00E24527"/>
    <w:rsid w:val="00E24D9B"/>
    <w:rsid w:val="00E25259"/>
    <w:rsid w:val="00E25EAF"/>
    <w:rsid w:val="00E26760"/>
    <w:rsid w:val="00E321EB"/>
    <w:rsid w:val="00E32892"/>
    <w:rsid w:val="00E330BA"/>
    <w:rsid w:val="00E339E1"/>
    <w:rsid w:val="00E34DED"/>
    <w:rsid w:val="00E368E8"/>
    <w:rsid w:val="00E36D6E"/>
    <w:rsid w:val="00E37C8B"/>
    <w:rsid w:val="00E37ECE"/>
    <w:rsid w:val="00E405B9"/>
    <w:rsid w:val="00E41941"/>
    <w:rsid w:val="00E425D4"/>
    <w:rsid w:val="00E43229"/>
    <w:rsid w:val="00E43652"/>
    <w:rsid w:val="00E454C9"/>
    <w:rsid w:val="00E50761"/>
    <w:rsid w:val="00E509D9"/>
    <w:rsid w:val="00E50B13"/>
    <w:rsid w:val="00E51B16"/>
    <w:rsid w:val="00E5352B"/>
    <w:rsid w:val="00E5507E"/>
    <w:rsid w:val="00E554A3"/>
    <w:rsid w:val="00E56917"/>
    <w:rsid w:val="00E573C2"/>
    <w:rsid w:val="00E579FC"/>
    <w:rsid w:val="00E603D8"/>
    <w:rsid w:val="00E60CA5"/>
    <w:rsid w:val="00E6120C"/>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2AD"/>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6BDE"/>
    <w:rsid w:val="00F0181A"/>
    <w:rsid w:val="00F01EE6"/>
    <w:rsid w:val="00F01F98"/>
    <w:rsid w:val="00F02219"/>
    <w:rsid w:val="00F03665"/>
    <w:rsid w:val="00F03D4C"/>
    <w:rsid w:val="00F04743"/>
    <w:rsid w:val="00F07460"/>
    <w:rsid w:val="00F10A6E"/>
    <w:rsid w:val="00F10CD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05E9"/>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8B0"/>
    <w:rsid w:val="00FA4B8D"/>
    <w:rsid w:val="00FA4C3E"/>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4A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1A0"/>
    <w:rsid w:val="00FF5A72"/>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reuters.com/sustainability/ecb-started-issuing-fine-notices-banks-not-meeting-climate-expectations-2024-09-24/?utm_"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0121107/https://www.bankingsupervision.europa.eu/ecb/pub/pdf/ssm.climate_stress_test_report.20220708~2e3cc0999f.en.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purl.org/dc/elements/1.1/"/>
    <ds:schemaRef ds:uri="a84edb6d-cf86-4b2b-8a62-38e962ed6fbe"/>
    <ds:schemaRef ds:uri="http://schemas.microsoft.com/office/2006/metadata/properties"/>
    <ds:schemaRef ds:uri="http://purl.org/dc/terms/"/>
    <ds:schemaRef ds:uri="f3ae4679-24f8-43cb-880e-0de6e561589c"/>
    <ds:schemaRef ds:uri="http://schemas.microsoft.com/office/2006/documentManagement/types"/>
    <ds:schemaRef ds:uri="http://schemas.openxmlformats.org/package/2006/metadata/core-properties"/>
    <ds:schemaRef ds:uri="http://schemas.microsoft.com/office/infopath/2007/PartnerControl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114</Pages>
  <Words>23528</Words>
  <Characters>134116</Characters>
  <Application>Microsoft Office Word</Application>
  <DocSecurity>0</DocSecurity>
  <Lines>1117</Lines>
  <Paragraphs>314</Paragraphs>
  <ScaleCrop>false</ScaleCrop>
  <Company/>
  <LinksUpToDate>false</LinksUpToDate>
  <CharactersWithSpaces>157330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67</cp:revision>
  <cp:lastPrinted>2025-03-21T00:14:00Z</cp:lastPrinted>
  <dcterms:created xsi:type="dcterms:W3CDTF">2025-06-19T12:23:00Z</dcterms:created>
  <dcterms:modified xsi:type="dcterms:W3CDTF">2025-07-22T16:59:00Z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